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406A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МАТЕРИАЛ</w:t>
      </w:r>
    </w:p>
    <w:p w14:paraId="731DDBE6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5B8A0C00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9FB492B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832E96A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74314578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143151E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58DD194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ADDEA6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4375DF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480DD79C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56154F37" w14:textId="77777777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0A8CDF2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958A8E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3954EE21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 xml:space="preserve">– состояние защищенности отраслей и сфер экономики от </w:t>
      </w:r>
      <w:r w:rsidRPr="00330889">
        <w:rPr>
          <w:bCs/>
          <w:sz w:val="30"/>
          <w:szCs w:val="30"/>
        </w:rPr>
        <w:lastRenderedPageBreak/>
        <w:t>воздействия угроз, препятствующих устойчивому социально-экономическому развитию Республики Беларусь.</w:t>
      </w:r>
    </w:p>
    <w:p w14:paraId="0A4028A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5A645F24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57A2C510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1A6EE09D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2AABACCC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1710C5B6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797D820C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EF309A2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CC56EAF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2D33F974" w14:textId="77777777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3DF5B4BA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16231864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B6B7F7B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60672A4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0068D912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 xml:space="preserve">По </w:t>
      </w:r>
      <w:r w:rsidR="00CA1DA0" w:rsidRPr="00330889">
        <w:rPr>
          <w:rFonts w:eastAsia="Times New Roman"/>
          <w:i/>
          <w:iCs/>
          <w:szCs w:val="28"/>
        </w:rPr>
        <w:lastRenderedPageBreak/>
        <w:t>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515C32B2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5911C87B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1A44FB8A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6372A357" w14:textId="77777777" w:rsidR="00093A0D" w:rsidRPr="00330889" w:rsidRDefault="00093A0D" w:rsidP="00AE3F1B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="00AE3F1B">
        <w:rPr>
          <w:rFonts w:eastAsia="Times New Roman"/>
          <w:b/>
          <w:sz w:val="30"/>
          <w:szCs w:val="30"/>
        </w:rPr>
        <w:t xml:space="preserve"> 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3FF12203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0B2AC07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017E415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639D744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2A83BC0A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1AD1999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75FCD930" w14:textId="77777777" w:rsidR="00093A0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00250944" w14:textId="77777777" w:rsidR="00303DFC" w:rsidRPr="00330889" w:rsidRDefault="00303DFC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</w:p>
    <w:p w14:paraId="27E12EE0" w14:textId="77777777" w:rsidR="00093A0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4D0118F" w14:textId="77777777" w:rsidR="00525E51" w:rsidRDefault="00525E51" w:rsidP="00303DFC">
      <w:pPr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30"/>
          <w:szCs w:val="30"/>
        </w:rPr>
      </w:pPr>
    </w:p>
    <w:p w14:paraId="3D3E5611" w14:textId="77777777" w:rsidR="00303DFC" w:rsidRPr="00525E51" w:rsidRDefault="00303DFC" w:rsidP="00303DFC">
      <w:pPr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30"/>
          <w:szCs w:val="30"/>
        </w:rPr>
      </w:pPr>
      <w:r w:rsidRPr="00525E51">
        <w:rPr>
          <w:rFonts w:cs="Times New Roman"/>
          <w:b/>
          <w:i/>
          <w:color w:val="000000"/>
          <w:sz w:val="30"/>
          <w:szCs w:val="30"/>
        </w:rPr>
        <w:t>Промышленность</w:t>
      </w:r>
      <w:r w:rsidR="00525E51" w:rsidRPr="00525E51">
        <w:rPr>
          <w:rFonts w:cs="Times New Roman"/>
          <w:b/>
          <w:i/>
          <w:color w:val="000000"/>
          <w:sz w:val="30"/>
          <w:szCs w:val="30"/>
        </w:rPr>
        <w:t xml:space="preserve"> Наровлянского </w:t>
      </w:r>
      <w:r w:rsidRPr="00525E51">
        <w:rPr>
          <w:rFonts w:cs="Times New Roman"/>
          <w:b/>
          <w:i/>
          <w:color w:val="000000"/>
          <w:sz w:val="30"/>
          <w:szCs w:val="30"/>
        </w:rPr>
        <w:t xml:space="preserve">района представлена </w:t>
      </w:r>
      <w:r w:rsidRPr="00525E51">
        <w:rPr>
          <w:rFonts w:cs="Times New Roman"/>
          <w:b/>
          <w:i/>
          <w:color w:val="000000"/>
          <w:sz w:val="30"/>
          <w:szCs w:val="30"/>
          <w:lang w:val="be-BY"/>
        </w:rPr>
        <w:t>3</w:t>
      </w:r>
      <w:r w:rsidRPr="00525E51">
        <w:rPr>
          <w:rFonts w:cs="Times New Roman"/>
          <w:b/>
          <w:i/>
          <w:color w:val="000000"/>
          <w:sz w:val="30"/>
          <w:szCs w:val="30"/>
        </w:rPr>
        <w:t xml:space="preserve"> предприятиями</w:t>
      </w:r>
      <w:r w:rsidRPr="00525E51">
        <w:rPr>
          <w:rFonts w:cs="Times New Roman"/>
          <w:b/>
          <w:i/>
          <w:color w:val="000000"/>
          <w:sz w:val="30"/>
          <w:szCs w:val="30"/>
          <w:lang w:val="be-BY"/>
        </w:rPr>
        <w:t xml:space="preserve">, из которых </w:t>
      </w:r>
      <w:r w:rsidRPr="00525E51">
        <w:rPr>
          <w:rFonts w:cs="Times New Roman"/>
          <w:b/>
          <w:i/>
          <w:color w:val="000000"/>
          <w:sz w:val="30"/>
          <w:szCs w:val="30"/>
        </w:rPr>
        <w:t xml:space="preserve">2 </w:t>
      </w:r>
      <w:r w:rsidR="00525E51" w:rsidRPr="00525E51">
        <w:rPr>
          <w:rFonts w:cs="Times New Roman"/>
          <w:b/>
          <w:i/>
          <w:color w:val="000000"/>
          <w:sz w:val="30"/>
          <w:szCs w:val="30"/>
        </w:rPr>
        <w:t xml:space="preserve">находятся в </w:t>
      </w:r>
      <w:r w:rsidRPr="00525E51">
        <w:rPr>
          <w:rFonts w:cs="Times New Roman"/>
          <w:b/>
          <w:i/>
          <w:color w:val="000000"/>
          <w:sz w:val="30"/>
          <w:szCs w:val="30"/>
        </w:rPr>
        <w:t xml:space="preserve">республиканской собственности (ОАО «Красный Мозырянин», ОАО «Наровлянский завод гидроаппаратуры»), 1 </w:t>
      </w:r>
      <w:r w:rsidR="00525E51" w:rsidRPr="00525E51">
        <w:rPr>
          <w:rFonts w:cs="Times New Roman"/>
          <w:b/>
          <w:i/>
          <w:color w:val="000000"/>
          <w:sz w:val="30"/>
          <w:szCs w:val="30"/>
        </w:rPr>
        <w:t>в</w:t>
      </w:r>
      <w:r w:rsidRPr="00525E51">
        <w:rPr>
          <w:rFonts w:cs="Times New Roman"/>
          <w:b/>
          <w:i/>
          <w:color w:val="000000"/>
          <w:sz w:val="30"/>
          <w:szCs w:val="30"/>
        </w:rPr>
        <w:t xml:space="preserve"> коммунальной собственности (КУП</w:t>
      </w:r>
      <w:r w:rsidR="00525E51" w:rsidRPr="00525E51">
        <w:rPr>
          <w:rFonts w:cs="Times New Roman"/>
          <w:b/>
          <w:i/>
          <w:color w:val="000000"/>
          <w:sz w:val="30"/>
          <w:szCs w:val="30"/>
        </w:rPr>
        <w:t> </w:t>
      </w:r>
      <w:r w:rsidRPr="00525E51">
        <w:rPr>
          <w:rFonts w:cs="Times New Roman"/>
          <w:b/>
          <w:i/>
          <w:color w:val="000000"/>
          <w:sz w:val="30"/>
          <w:szCs w:val="30"/>
        </w:rPr>
        <w:t>«Жилкомстрой» г.Наровл</w:t>
      </w:r>
      <w:r w:rsidR="00525E51" w:rsidRPr="00525E51">
        <w:rPr>
          <w:rFonts w:cs="Times New Roman"/>
          <w:b/>
          <w:i/>
          <w:color w:val="000000"/>
          <w:sz w:val="30"/>
          <w:szCs w:val="30"/>
        </w:rPr>
        <w:t>и</w:t>
      </w:r>
      <w:r w:rsidRPr="00525E51">
        <w:rPr>
          <w:rFonts w:cs="Times New Roman"/>
          <w:b/>
          <w:i/>
          <w:color w:val="000000"/>
          <w:sz w:val="30"/>
          <w:szCs w:val="30"/>
        </w:rPr>
        <w:t xml:space="preserve">). </w:t>
      </w:r>
      <w:r w:rsidRPr="00525E51">
        <w:rPr>
          <w:rFonts w:cs="Times New Roman"/>
          <w:b/>
          <w:i/>
          <w:sz w:val="30"/>
          <w:szCs w:val="30"/>
        </w:rPr>
        <w:t>Так же в структуру промышленного производства района (в</w:t>
      </w:r>
      <w:r w:rsidRPr="00525E51">
        <w:rPr>
          <w:rFonts w:cs="Times New Roman"/>
          <w:b/>
          <w:i/>
          <w:color w:val="000000"/>
          <w:sz w:val="30"/>
          <w:szCs w:val="30"/>
        </w:rPr>
        <w:t xml:space="preserve"> </w:t>
      </w:r>
      <w:r w:rsidRPr="00525E51">
        <w:rPr>
          <w:rFonts w:cs="Times New Roman"/>
          <w:b/>
          <w:bCs/>
          <w:i/>
          <w:sz w:val="30"/>
          <w:szCs w:val="30"/>
        </w:rPr>
        <w:t xml:space="preserve">объем промышленного производства по индексу физического объема) входит </w:t>
      </w:r>
      <w:r w:rsidRPr="00525E51">
        <w:rPr>
          <w:rFonts w:cs="Times New Roman"/>
          <w:b/>
          <w:i/>
          <w:sz w:val="30"/>
          <w:szCs w:val="30"/>
        </w:rPr>
        <w:t>ГСЛХУ «Наровлянский спецлесхоз».</w:t>
      </w:r>
    </w:p>
    <w:p w14:paraId="1B78B015" w14:textId="77777777" w:rsidR="00303DFC" w:rsidRPr="00525E51" w:rsidRDefault="00303DFC" w:rsidP="00303DFC">
      <w:pPr>
        <w:spacing w:after="0" w:line="240" w:lineRule="auto"/>
        <w:ind w:firstLine="709"/>
        <w:jc w:val="both"/>
        <w:rPr>
          <w:rFonts w:cs="Times New Roman"/>
          <w:b/>
          <w:i/>
          <w:color w:val="000000"/>
          <w:spacing w:val="-6"/>
          <w:sz w:val="30"/>
          <w:szCs w:val="30"/>
        </w:rPr>
      </w:pPr>
      <w:r w:rsidRPr="00525E51">
        <w:rPr>
          <w:rFonts w:cs="Times New Roman"/>
          <w:b/>
          <w:i/>
          <w:color w:val="000000"/>
          <w:sz w:val="30"/>
          <w:szCs w:val="30"/>
        </w:rPr>
        <w:t xml:space="preserve">Удельный вес производства промышленной продукции района составляет 0,1% в общем объеме промышленного производства области. </w:t>
      </w:r>
    </w:p>
    <w:p w14:paraId="0007CA4F" w14:textId="77777777" w:rsidR="00303DFC" w:rsidRPr="00525E51" w:rsidRDefault="00303DFC" w:rsidP="00303DFC">
      <w:pPr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30"/>
          <w:szCs w:val="30"/>
        </w:rPr>
      </w:pPr>
      <w:r w:rsidRPr="00525E51">
        <w:rPr>
          <w:rFonts w:cs="Times New Roman"/>
          <w:b/>
          <w:i/>
          <w:color w:val="000000"/>
          <w:sz w:val="30"/>
          <w:szCs w:val="30"/>
        </w:rPr>
        <w:t xml:space="preserve">Темп роста объемов промышленного производства в районе  в фактических отпускных ценах за январь-сентябрь 2023 года  составил  114,3%. </w:t>
      </w:r>
    </w:p>
    <w:p w14:paraId="45E8E069" w14:textId="77777777" w:rsidR="00FB4B74" w:rsidRPr="00525E51" w:rsidRDefault="00FB4B74" w:rsidP="00FB4B74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525E51">
        <w:rPr>
          <w:rFonts w:cs="Times New Roman"/>
          <w:b/>
          <w:i/>
          <w:sz w:val="30"/>
          <w:szCs w:val="30"/>
          <w:lang w:eastAsia="ru-RU"/>
        </w:rPr>
        <w:t xml:space="preserve">Ведущими отраслями промышленного комплекса района являются: </w:t>
      </w:r>
      <w:r w:rsidRPr="00525E51">
        <w:rPr>
          <w:rFonts w:cs="Times New Roman"/>
          <w:b/>
          <w:i/>
          <w:sz w:val="30"/>
          <w:szCs w:val="30"/>
        </w:rPr>
        <w:t xml:space="preserve"> производство кондитерских изделий, хлебобулочных изделий, производство текстильных изделий, оборудования, деревообрабатывающая промышленность, производство мебели, строительных материалов.</w:t>
      </w:r>
    </w:p>
    <w:p w14:paraId="11F60054" w14:textId="77777777" w:rsidR="00FB4B74" w:rsidRPr="00525E51" w:rsidRDefault="00FB4B74" w:rsidP="00FB4B74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525E51">
        <w:rPr>
          <w:rFonts w:eastAsia="Times New Roman"/>
          <w:b/>
          <w:i/>
          <w:sz w:val="30"/>
          <w:szCs w:val="30"/>
        </w:rPr>
        <w:t>Наибольший удельный вес занимает ОАО «Красный Мозырянин».</w:t>
      </w:r>
      <w:r w:rsidRPr="00525E51">
        <w:rPr>
          <w:rFonts w:cs="Times New Roman"/>
          <w:b/>
          <w:i/>
          <w:sz w:val="30"/>
          <w:szCs w:val="30"/>
        </w:rPr>
        <w:t xml:space="preserve"> За январь-сентябрь</w:t>
      </w:r>
      <w:r w:rsidRPr="00525E51">
        <w:rPr>
          <w:rFonts w:cs="Times New Roman"/>
          <w:b/>
          <w:bCs/>
          <w:i/>
          <w:spacing w:val="4"/>
          <w:sz w:val="30"/>
          <w:szCs w:val="30"/>
        </w:rPr>
        <w:t xml:space="preserve"> </w:t>
      </w:r>
      <w:r w:rsidRPr="00525E51">
        <w:rPr>
          <w:rFonts w:cs="Times New Roman"/>
          <w:b/>
          <w:i/>
          <w:sz w:val="30"/>
          <w:szCs w:val="30"/>
        </w:rPr>
        <w:t>2023 года предприятием произведено 2517 тонн кондитерских изделий, что на 167 тонн больше, чем за аналогичный  период прошлого года, темп  составил 107,1%. Увеличилась загрузка производственных мощностей с 85,4% в январе-сентябре  2022 года до 91,5% в январе-сентябре 2023 года.</w:t>
      </w:r>
    </w:p>
    <w:p w14:paraId="25775203" w14:textId="77777777" w:rsidR="00525E51" w:rsidRDefault="00525E51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</w:p>
    <w:p w14:paraId="6D91F91B" w14:textId="77777777" w:rsidR="00093A0D" w:rsidRPr="00525E51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525E51">
        <w:rPr>
          <w:rFonts w:eastAsia="Times New Roman"/>
          <w:sz w:val="30"/>
          <w:szCs w:val="30"/>
        </w:rPr>
        <w:t xml:space="preserve">Динамично развивается строительная отрасль. За 8 месяцев </w:t>
      </w:r>
      <w:r w:rsidR="00E94AF4" w:rsidRPr="00525E51">
        <w:rPr>
          <w:rFonts w:eastAsia="Times New Roman"/>
          <w:sz w:val="30"/>
          <w:szCs w:val="30"/>
        </w:rPr>
        <w:t xml:space="preserve">т.г. </w:t>
      </w:r>
      <w:r w:rsidRPr="00525E51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140E6D9C" w14:textId="77777777" w:rsidR="00093A0D" w:rsidRPr="00525E51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525E51">
        <w:rPr>
          <w:rFonts w:eastAsia="Times New Roman"/>
          <w:sz w:val="30"/>
          <w:szCs w:val="30"/>
        </w:rPr>
        <w:t>Положительные тенденции отмечаются на внутреннем потребительском рынке. Розничный товарооборот за январь–</w:t>
      </w:r>
      <w:r w:rsidR="00144026" w:rsidRPr="00525E51">
        <w:rPr>
          <w:rFonts w:eastAsia="Times New Roman"/>
          <w:sz w:val="30"/>
          <w:szCs w:val="30"/>
        </w:rPr>
        <w:t xml:space="preserve">сентябрь </w:t>
      </w:r>
      <w:r w:rsidRPr="00525E51">
        <w:rPr>
          <w:rFonts w:eastAsia="Times New Roman"/>
          <w:sz w:val="30"/>
          <w:szCs w:val="30"/>
        </w:rPr>
        <w:t>2023 г. вырос на 6,</w:t>
      </w:r>
      <w:r w:rsidR="00144026" w:rsidRPr="00525E51">
        <w:rPr>
          <w:rFonts w:eastAsia="Times New Roman"/>
          <w:sz w:val="30"/>
          <w:szCs w:val="30"/>
        </w:rPr>
        <w:t>7</w:t>
      </w:r>
      <w:r w:rsidRPr="00525E51">
        <w:rPr>
          <w:rFonts w:eastAsia="Times New Roman"/>
          <w:sz w:val="30"/>
          <w:szCs w:val="30"/>
        </w:rPr>
        <w:t>%.</w:t>
      </w:r>
    </w:p>
    <w:p w14:paraId="088FA343" w14:textId="77777777" w:rsidR="00525E51" w:rsidRDefault="00525E51" w:rsidP="0008351F">
      <w:pPr>
        <w:spacing w:after="0" w:line="240" w:lineRule="auto"/>
        <w:ind w:right="40" w:firstLine="851"/>
        <w:jc w:val="both"/>
        <w:rPr>
          <w:b/>
          <w:i/>
          <w:sz w:val="30"/>
          <w:szCs w:val="30"/>
        </w:rPr>
      </w:pPr>
    </w:p>
    <w:p w14:paraId="0976ED8D" w14:textId="77777777" w:rsidR="00746750" w:rsidRPr="00525E51" w:rsidRDefault="0008351F" w:rsidP="0008351F">
      <w:pPr>
        <w:spacing w:after="0" w:line="240" w:lineRule="auto"/>
        <w:ind w:right="40" w:firstLine="851"/>
        <w:jc w:val="both"/>
        <w:rPr>
          <w:rFonts w:cs="Times New Roman"/>
          <w:b/>
          <w:i/>
          <w:sz w:val="30"/>
          <w:szCs w:val="30"/>
        </w:rPr>
      </w:pPr>
      <w:r w:rsidRPr="00525E51">
        <w:rPr>
          <w:b/>
          <w:i/>
          <w:sz w:val="30"/>
          <w:szCs w:val="30"/>
        </w:rPr>
        <w:t>Немаловажным сектором экономики</w:t>
      </w:r>
      <w:r w:rsidR="00525E51" w:rsidRPr="00525E51">
        <w:rPr>
          <w:b/>
          <w:i/>
          <w:sz w:val="30"/>
          <w:szCs w:val="30"/>
        </w:rPr>
        <w:t xml:space="preserve"> Наровлянского</w:t>
      </w:r>
      <w:r w:rsidRPr="00525E51">
        <w:rPr>
          <w:b/>
          <w:i/>
          <w:sz w:val="30"/>
          <w:szCs w:val="30"/>
        </w:rPr>
        <w:t xml:space="preserve"> района является потребительский рынок, представляющий собой разветвленную сеть предприятий торговли, общественного  питания и сферы услуг. </w:t>
      </w:r>
      <w:r w:rsidRPr="00525E51">
        <w:rPr>
          <w:rFonts w:cs="Times New Roman"/>
          <w:b/>
          <w:i/>
          <w:sz w:val="30"/>
          <w:szCs w:val="30"/>
        </w:rPr>
        <w:t>Торговая сеть района представлена 101 объектом (</w:t>
      </w:r>
      <w:r w:rsidR="00525E51" w:rsidRPr="00525E51">
        <w:rPr>
          <w:rFonts w:cs="Times New Roman"/>
          <w:b/>
          <w:i/>
          <w:sz w:val="30"/>
          <w:szCs w:val="30"/>
        </w:rPr>
        <w:t xml:space="preserve">в том числе </w:t>
      </w:r>
      <w:r w:rsidRPr="00525E51">
        <w:rPr>
          <w:rFonts w:cs="Times New Roman"/>
          <w:b/>
          <w:i/>
          <w:sz w:val="30"/>
          <w:szCs w:val="30"/>
        </w:rPr>
        <w:t>64 магазин</w:t>
      </w:r>
      <w:r w:rsidR="00525E51" w:rsidRPr="00525E51">
        <w:rPr>
          <w:rFonts w:cs="Times New Roman"/>
          <w:b/>
          <w:i/>
          <w:sz w:val="30"/>
          <w:szCs w:val="30"/>
        </w:rPr>
        <w:t>а</w:t>
      </w:r>
      <w:r w:rsidRPr="00525E51">
        <w:rPr>
          <w:rFonts w:cs="Times New Roman"/>
          <w:b/>
          <w:i/>
          <w:sz w:val="30"/>
          <w:szCs w:val="30"/>
        </w:rPr>
        <w:t xml:space="preserve"> и павильон</w:t>
      </w:r>
      <w:r w:rsidR="00525E51" w:rsidRPr="00525E51">
        <w:rPr>
          <w:rFonts w:cs="Times New Roman"/>
          <w:b/>
          <w:i/>
          <w:sz w:val="30"/>
          <w:szCs w:val="30"/>
        </w:rPr>
        <w:t>ы</w:t>
      </w:r>
      <w:r w:rsidRPr="00525E51">
        <w:rPr>
          <w:rFonts w:cs="Times New Roman"/>
          <w:b/>
          <w:i/>
          <w:sz w:val="30"/>
          <w:szCs w:val="30"/>
        </w:rPr>
        <w:t xml:space="preserve">) торговой </w:t>
      </w:r>
      <w:r w:rsidRPr="00525E51">
        <w:rPr>
          <w:rFonts w:cs="Times New Roman"/>
          <w:b/>
          <w:i/>
          <w:sz w:val="30"/>
          <w:szCs w:val="30"/>
        </w:rPr>
        <w:lastRenderedPageBreak/>
        <w:t>площадью 6</w:t>
      </w:r>
      <w:r w:rsidR="00525E51" w:rsidRPr="00525E51">
        <w:rPr>
          <w:rFonts w:cs="Times New Roman"/>
          <w:b/>
          <w:i/>
          <w:sz w:val="30"/>
          <w:szCs w:val="30"/>
        </w:rPr>
        <w:t xml:space="preserve"> </w:t>
      </w:r>
      <w:r w:rsidRPr="00525E51">
        <w:rPr>
          <w:rFonts w:cs="Times New Roman"/>
          <w:b/>
          <w:i/>
          <w:sz w:val="30"/>
          <w:szCs w:val="30"/>
        </w:rPr>
        <w:t>600,5</w:t>
      </w:r>
      <w:r w:rsidR="00525E51" w:rsidRPr="00525E51">
        <w:rPr>
          <w:rFonts w:cs="Times New Roman"/>
          <w:b/>
          <w:i/>
          <w:sz w:val="30"/>
          <w:szCs w:val="30"/>
        </w:rPr>
        <w:t xml:space="preserve"> </w:t>
      </w:r>
      <w:r w:rsidRPr="00525E51">
        <w:rPr>
          <w:rFonts w:cs="Times New Roman"/>
          <w:b/>
          <w:i/>
          <w:sz w:val="30"/>
          <w:szCs w:val="30"/>
        </w:rPr>
        <w:t>м.кв</w:t>
      </w:r>
      <w:r w:rsidR="00525E51" w:rsidRPr="00525E51">
        <w:rPr>
          <w:rFonts w:cs="Times New Roman"/>
          <w:b/>
          <w:i/>
          <w:sz w:val="30"/>
          <w:szCs w:val="30"/>
        </w:rPr>
        <w:t xml:space="preserve">. В городе действует </w:t>
      </w:r>
      <w:r w:rsidRPr="00525E51">
        <w:rPr>
          <w:rFonts w:cs="Times New Roman"/>
          <w:b/>
          <w:i/>
          <w:sz w:val="30"/>
          <w:szCs w:val="30"/>
        </w:rPr>
        <w:t>1 рын</w:t>
      </w:r>
      <w:r w:rsidR="00525E51" w:rsidRPr="00525E51">
        <w:rPr>
          <w:rFonts w:cs="Times New Roman"/>
          <w:b/>
          <w:i/>
          <w:sz w:val="30"/>
          <w:szCs w:val="30"/>
        </w:rPr>
        <w:t>ок</w:t>
      </w:r>
      <w:r w:rsidRPr="00525E51">
        <w:rPr>
          <w:rFonts w:cs="Times New Roman"/>
          <w:b/>
          <w:i/>
          <w:sz w:val="30"/>
          <w:szCs w:val="30"/>
        </w:rPr>
        <w:t xml:space="preserve"> на 70 торговых мест.</w:t>
      </w:r>
    </w:p>
    <w:p w14:paraId="3283F425" w14:textId="77777777" w:rsidR="00525E51" w:rsidRDefault="00525E51" w:rsidP="00525E51">
      <w:pPr>
        <w:pStyle w:val="11"/>
        <w:shd w:val="clear" w:color="auto" w:fill="auto"/>
        <w:spacing w:line="240" w:lineRule="auto"/>
        <w:ind w:firstLine="680"/>
        <w:rPr>
          <w:sz w:val="30"/>
          <w:szCs w:val="30"/>
        </w:rPr>
      </w:pPr>
    </w:p>
    <w:p w14:paraId="0B39F295" w14:textId="77777777" w:rsidR="0008351F" w:rsidRPr="00330889" w:rsidRDefault="00746750" w:rsidP="00525E51">
      <w:pPr>
        <w:pStyle w:val="11"/>
        <w:shd w:val="clear" w:color="auto" w:fill="auto"/>
        <w:spacing w:line="240" w:lineRule="auto"/>
        <w:ind w:firstLine="680"/>
        <w:rPr>
          <w:rFonts w:eastAsia="Times New Roman"/>
          <w:sz w:val="30"/>
          <w:szCs w:val="30"/>
        </w:rPr>
      </w:pPr>
      <w:r w:rsidRPr="00525E51">
        <w:rPr>
          <w:sz w:val="30"/>
          <w:szCs w:val="30"/>
        </w:rPr>
        <w:t>Развитие потребительского рынка ориентировано на удовлетворение потребности населения в качественных товарах и по доступным ценам, создание комфортной потребительской среды.</w:t>
      </w:r>
      <w:r w:rsidR="0008351F" w:rsidRPr="002F374B">
        <w:rPr>
          <w:rFonts w:cs="Times New Roman"/>
          <w:sz w:val="30"/>
          <w:szCs w:val="30"/>
        </w:rPr>
        <w:t xml:space="preserve"> </w:t>
      </w:r>
    </w:p>
    <w:p w14:paraId="491BE803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4EA0A98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>перспективных технологий и развития высокотехнологичных, экспортно-ориентированных и импорто</w:t>
      </w:r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 производств</w:t>
      </w:r>
      <w:r w:rsidR="00144026" w:rsidRPr="00330889">
        <w:rPr>
          <w:bCs/>
          <w:sz w:val="30"/>
          <w:szCs w:val="30"/>
        </w:rPr>
        <w:t>.</w:t>
      </w:r>
    </w:p>
    <w:p w14:paraId="0494BC92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5912F1A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6CE3C0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70E10179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>(впервые продемонстрирован 10 июля 2023 г. в г.Ека</w:t>
      </w:r>
      <w:r w:rsidR="00E94AF4" w:rsidRPr="00330889">
        <w:rPr>
          <w:bCs/>
          <w:i/>
          <w:szCs w:val="28"/>
        </w:rPr>
        <w:t>теринбург на выставке «Иннопром–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03027C9E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11735E0B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11EB78A9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11809967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0D89CC21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7A68BAF1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1ED8AF28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79C451E4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7B869927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75AE5AC9" w14:textId="77777777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костробрикетов </w:t>
      </w:r>
      <w:r w:rsidRPr="00330889">
        <w:rPr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«Горкилен»)</w:t>
      </w:r>
      <w:r w:rsidRPr="00330889">
        <w:rPr>
          <w:bCs/>
          <w:iCs/>
          <w:sz w:val="30"/>
          <w:szCs w:val="30"/>
        </w:rPr>
        <w:t>;</w:t>
      </w:r>
    </w:p>
    <w:p w14:paraId="3CDDC755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334DA87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3DB02DE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2ADEE8D7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Костробрикеты</w:t>
      </w:r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соломо-белкового корма для животных и др.</w:t>
      </w:r>
    </w:p>
    <w:p w14:paraId="449750BA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«МедЛен»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«Медватфарм» при производстве изделий санитарно-гигиенического назначения.</w:t>
      </w:r>
    </w:p>
    <w:p w14:paraId="7C00DA7D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47CAF554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«МедЛен»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50328489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«Медватфарм»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1360A0" w14:textId="77777777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2B6EA056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4E09BE49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6D5D574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346AA24D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79E131AC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4F3B7B2F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7F1A2E6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4C032FD0" w14:textId="77777777" w:rsidR="00093A0D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314E2BBC" w14:textId="77777777" w:rsidR="00525E51" w:rsidRDefault="00525E51" w:rsidP="005B3C1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</w:p>
    <w:p w14:paraId="1EF097BA" w14:textId="77777777" w:rsidR="005B3C11" w:rsidRPr="00525E51" w:rsidRDefault="005B3C11" w:rsidP="005B3C1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525E51">
        <w:rPr>
          <w:rFonts w:cs="Times New Roman"/>
          <w:b/>
          <w:i/>
          <w:sz w:val="30"/>
          <w:szCs w:val="30"/>
        </w:rPr>
        <w:t>По итогам работы за январь-сентябрь 2023 г</w:t>
      </w:r>
      <w:r w:rsidR="00525E51" w:rsidRPr="00525E51">
        <w:rPr>
          <w:rFonts w:cs="Times New Roman"/>
          <w:b/>
          <w:i/>
          <w:sz w:val="30"/>
          <w:szCs w:val="30"/>
        </w:rPr>
        <w:t>.</w:t>
      </w:r>
      <w:r w:rsidRPr="00525E51">
        <w:rPr>
          <w:rFonts w:cs="Times New Roman"/>
          <w:b/>
          <w:i/>
          <w:sz w:val="30"/>
          <w:szCs w:val="30"/>
        </w:rPr>
        <w:t xml:space="preserve"> номинальная начисленная среднемесячная заработная плата работников в целом по</w:t>
      </w:r>
      <w:r w:rsidR="00525E51" w:rsidRPr="00525E51">
        <w:rPr>
          <w:rFonts w:cs="Times New Roman"/>
          <w:b/>
          <w:i/>
          <w:sz w:val="30"/>
          <w:szCs w:val="30"/>
        </w:rPr>
        <w:t xml:space="preserve"> Наровлянскому </w:t>
      </w:r>
      <w:r w:rsidRPr="00525E51">
        <w:rPr>
          <w:rFonts w:cs="Times New Roman"/>
          <w:b/>
          <w:i/>
          <w:sz w:val="30"/>
          <w:szCs w:val="30"/>
        </w:rPr>
        <w:t>району составила 1</w:t>
      </w:r>
      <w:r w:rsidR="00525E51" w:rsidRPr="00525E51">
        <w:rPr>
          <w:rFonts w:cs="Times New Roman"/>
          <w:b/>
          <w:i/>
          <w:sz w:val="30"/>
          <w:szCs w:val="30"/>
        </w:rPr>
        <w:t xml:space="preserve"> </w:t>
      </w:r>
      <w:r w:rsidRPr="00525E51">
        <w:rPr>
          <w:rFonts w:cs="Times New Roman"/>
          <w:b/>
          <w:i/>
          <w:sz w:val="30"/>
          <w:szCs w:val="30"/>
        </w:rPr>
        <w:t>403,5 рублей. По сравнению с аналогичным периодом прошлого года среднемесячная заработная плата увеличилась на 114,7 %. при прогнозе 114,1%. Среднемесячная заработная плата за сентябрь составила 1</w:t>
      </w:r>
      <w:r w:rsidR="00525E51" w:rsidRPr="00525E51">
        <w:rPr>
          <w:rFonts w:cs="Times New Roman"/>
          <w:b/>
          <w:i/>
          <w:sz w:val="30"/>
          <w:szCs w:val="30"/>
        </w:rPr>
        <w:t xml:space="preserve"> </w:t>
      </w:r>
      <w:r w:rsidRPr="00525E51">
        <w:rPr>
          <w:rFonts w:cs="Times New Roman"/>
          <w:b/>
          <w:i/>
          <w:sz w:val="30"/>
          <w:szCs w:val="30"/>
        </w:rPr>
        <w:t>496,6 руб., темп роста с прошлым годом – 116,9 %.</w:t>
      </w:r>
    </w:p>
    <w:p w14:paraId="0EF9788A" w14:textId="77777777" w:rsidR="005B3C11" w:rsidRPr="00525E51" w:rsidRDefault="005B3C11" w:rsidP="005B3C11">
      <w:pPr>
        <w:spacing w:after="120" w:line="280" w:lineRule="exact"/>
        <w:ind w:firstLine="709"/>
        <w:jc w:val="both"/>
        <w:rPr>
          <w:b/>
          <w:bCs/>
          <w:i/>
          <w:szCs w:val="28"/>
        </w:rPr>
      </w:pPr>
      <w:r w:rsidRPr="00525E51">
        <w:rPr>
          <w:b/>
          <w:bCs/>
          <w:i/>
          <w:szCs w:val="28"/>
        </w:rPr>
        <w:t>Реальная заработная плата увеличилась и составила 109%.</w:t>
      </w:r>
    </w:p>
    <w:p w14:paraId="139201EE" w14:textId="77777777" w:rsidR="00525E51" w:rsidRDefault="00525E5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360B8F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10A59E3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CB3C228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572C3D04" w14:textId="77777777" w:rsidR="00093A0D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572D9D0A" w14:textId="77777777" w:rsidR="00525E51" w:rsidRDefault="00525E51" w:rsidP="00093A0D">
      <w:pPr>
        <w:spacing w:after="0" w:line="240" w:lineRule="auto"/>
        <w:ind w:firstLine="709"/>
        <w:jc w:val="both"/>
        <w:rPr>
          <w:rFonts w:eastAsia="Calibri" w:cs="Times New Roman"/>
          <w:b/>
          <w:i/>
          <w:sz w:val="30"/>
          <w:szCs w:val="30"/>
        </w:rPr>
      </w:pPr>
    </w:p>
    <w:p w14:paraId="0BEE79A1" w14:textId="77777777" w:rsidR="005D6E39" w:rsidRPr="00525E51" w:rsidRDefault="00C236BE" w:rsidP="00093A0D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525E51">
        <w:rPr>
          <w:rFonts w:eastAsia="Calibri" w:cs="Times New Roman"/>
          <w:b/>
          <w:i/>
          <w:sz w:val="30"/>
          <w:szCs w:val="30"/>
        </w:rPr>
        <w:t xml:space="preserve">По состоянию на 1 </w:t>
      </w:r>
      <w:r w:rsidRPr="00525E51">
        <w:rPr>
          <w:b/>
          <w:i/>
          <w:sz w:val="30"/>
          <w:szCs w:val="30"/>
        </w:rPr>
        <w:t>октября 2023</w:t>
      </w:r>
      <w:r w:rsidRPr="00525E51">
        <w:rPr>
          <w:rFonts w:eastAsia="Calibri" w:cs="Times New Roman"/>
          <w:b/>
          <w:i/>
          <w:sz w:val="30"/>
          <w:szCs w:val="30"/>
        </w:rPr>
        <w:t xml:space="preserve"> года в Наровлянском районе зарегистрирован</w:t>
      </w:r>
      <w:r w:rsidR="00525E51" w:rsidRPr="00525E51">
        <w:rPr>
          <w:rFonts w:eastAsia="Calibri" w:cs="Times New Roman"/>
          <w:b/>
          <w:i/>
          <w:sz w:val="30"/>
          <w:szCs w:val="30"/>
        </w:rPr>
        <w:t>ы</w:t>
      </w:r>
      <w:r w:rsidRPr="00525E51">
        <w:rPr>
          <w:rFonts w:eastAsia="Calibri" w:cs="Times New Roman"/>
          <w:b/>
          <w:i/>
          <w:sz w:val="30"/>
          <w:szCs w:val="30"/>
        </w:rPr>
        <w:t xml:space="preserve"> </w:t>
      </w:r>
      <w:r w:rsidRPr="00525E51">
        <w:rPr>
          <w:b/>
          <w:i/>
          <w:sz w:val="30"/>
          <w:szCs w:val="30"/>
        </w:rPr>
        <w:t xml:space="preserve">154 </w:t>
      </w:r>
      <w:r w:rsidRPr="00525E51">
        <w:rPr>
          <w:rFonts w:eastAsia="Calibri" w:cs="Times New Roman"/>
          <w:b/>
          <w:i/>
          <w:sz w:val="30"/>
          <w:szCs w:val="30"/>
        </w:rPr>
        <w:t>субъекта малого и среднего предпринимательства, в том числе 1</w:t>
      </w:r>
      <w:r w:rsidRPr="00525E51">
        <w:rPr>
          <w:b/>
          <w:i/>
          <w:sz w:val="30"/>
          <w:szCs w:val="30"/>
        </w:rPr>
        <w:t>1</w:t>
      </w:r>
      <w:r w:rsidRPr="00525E51">
        <w:rPr>
          <w:rFonts w:eastAsia="Calibri" w:cs="Times New Roman"/>
          <w:b/>
          <w:i/>
          <w:sz w:val="30"/>
          <w:szCs w:val="30"/>
        </w:rPr>
        <w:t>3 индивидуальных предпринимателей.</w:t>
      </w:r>
    </w:p>
    <w:p w14:paraId="56BCC5AB" w14:textId="77777777" w:rsidR="005A0FD5" w:rsidRPr="00525E51" w:rsidRDefault="005A0FD5" w:rsidP="005A0FD5">
      <w:pPr>
        <w:spacing w:after="0" w:line="240" w:lineRule="auto"/>
        <w:ind w:firstLine="710"/>
        <w:jc w:val="both"/>
        <w:rPr>
          <w:rFonts w:cs="Times New Roman"/>
          <w:b/>
          <w:bCs/>
          <w:i/>
          <w:sz w:val="30"/>
          <w:szCs w:val="30"/>
        </w:rPr>
      </w:pPr>
      <w:r w:rsidRPr="00525E51">
        <w:rPr>
          <w:rFonts w:cs="Times New Roman"/>
          <w:b/>
          <w:i/>
          <w:sz w:val="30"/>
          <w:szCs w:val="30"/>
        </w:rPr>
        <w:t>П</w:t>
      </w:r>
      <w:r w:rsidRPr="00525E51">
        <w:rPr>
          <w:rFonts w:cs="Times New Roman"/>
          <w:b/>
          <w:bCs/>
          <w:i/>
          <w:sz w:val="30"/>
          <w:szCs w:val="30"/>
        </w:rPr>
        <w:t>оступления налоговых платежей от субъектов малого и среднего бизнеса района за январь-сентябрь 202</w:t>
      </w:r>
      <w:r w:rsidR="00525E51" w:rsidRPr="00525E51">
        <w:rPr>
          <w:rFonts w:cs="Times New Roman"/>
          <w:b/>
          <w:bCs/>
          <w:i/>
          <w:sz w:val="30"/>
          <w:szCs w:val="30"/>
        </w:rPr>
        <w:t>3 г.</w:t>
      </w:r>
      <w:r w:rsidRPr="00525E51">
        <w:rPr>
          <w:rFonts w:cs="Times New Roman"/>
          <w:b/>
          <w:bCs/>
          <w:i/>
          <w:sz w:val="30"/>
          <w:szCs w:val="30"/>
        </w:rPr>
        <w:t xml:space="preserve">  увеличились на 19,5%.</w:t>
      </w:r>
    </w:p>
    <w:p w14:paraId="22F80318" w14:textId="77777777" w:rsidR="00525E51" w:rsidRDefault="00525E5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1F9B7E9F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2B55578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040ABD1E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2B05E5CA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1C4D5193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5D3F2A0D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B3D10A9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50B4F85D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49A8E0E0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EC7CA16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01A0B099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0CA381C7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77B65880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296E2E76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02F91BCB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29ABF3B1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B0A8F1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484DF5A6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71D5C1CF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3079209B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31E49E45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A988D3E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396F44A3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>– БелАЭС)</w:t>
      </w:r>
      <w:r w:rsidRPr="00330889">
        <w:rPr>
          <w:bCs/>
          <w:sz w:val="30"/>
          <w:szCs w:val="30"/>
        </w:rPr>
        <w:t>, запущены энергоисточники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>, созданы современные ветропарки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7CA8F522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78D103F9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05925395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С момента пуска энергоблока № 1 БелАЭС с 03.11.2020 по 30.09.2023 в</w:t>
      </w:r>
      <w:r w:rsidR="00FA3AAD" w:rsidRPr="00330889">
        <w:rPr>
          <w:bCs/>
          <w:i/>
          <w:szCs w:val="28"/>
        </w:rPr>
        <w:t>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14:paraId="599D32CD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7EB2BAB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9B2BD74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491AC80F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379B4C7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0F18FB28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4C67DE3C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47C5802F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7ED3637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0E9C9924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 Двина, Гродненская ГЭС (17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Неман.</w:t>
      </w:r>
    </w:p>
    <w:p w14:paraId="28ABAEC1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>трическая станция в районе н.п.</w:t>
      </w:r>
      <w:r w:rsidRPr="00330889">
        <w:rPr>
          <w:bCs/>
          <w:i/>
          <w:szCs w:val="28"/>
        </w:rPr>
        <w:t>Грабники суммарной установленной мощностью 9,0 МВт.</w:t>
      </w:r>
    </w:p>
    <w:p w14:paraId="5D5BF030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2B1A459E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29ED929F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1A1E9789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22A817F9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25AC5D96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608F0AD2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6A9F177E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74552A9E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0250D42E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1E8A806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582DAA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080C105E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51DCA0BE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180F7483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23F5971D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1FB2FEFE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0ED0661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101A823F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403578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F425339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5E7FA8D7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627D391D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7904F4C8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4E2FA866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5C21C1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0A87B4A5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1329D504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46DDC156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444ED3A3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1F19F46D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41C2B5C4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65C3F492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298A731C" w14:textId="77777777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F6ECC7E" w14:textId="77777777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18A7D704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79F074BD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18BB710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69EB981E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E37A5CC" w14:textId="77777777" w:rsidR="00473580" w:rsidRDefault="00473580" w:rsidP="00AA7FA0">
      <w:pPr>
        <w:spacing w:after="0" w:line="240" w:lineRule="auto"/>
        <w:ind w:firstLine="709"/>
        <w:jc w:val="both"/>
        <w:rPr>
          <w:rFonts w:asciiTheme="minorHAnsi" w:eastAsia="Times New Roman;Times New Roman" w:hAnsiTheme="minorHAnsi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07E02FFF" w14:textId="77777777" w:rsidR="00525E51" w:rsidRPr="00525E51" w:rsidRDefault="00525E51" w:rsidP="00AA7FA0">
      <w:pPr>
        <w:spacing w:after="0" w:line="240" w:lineRule="auto"/>
        <w:ind w:firstLine="709"/>
        <w:jc w:val="both"/>
        <w:rPr>
          <w:rFonts w:asciiTheme="minorHAnsi" w:eastAsia="Times New Roman;Times New Roman" w:hAnsiTheme="minorHAnsi" w:cs="Times New Roman;Times New Roman"/>
          <w:bCs/>
          <w:sz w:val="30"/>
          <w:szCs w:val="30"/>
          <w:lang w:eastAsia="zh-CN"/>
        </w:rPr>
      </w:pPr>
    </w:p>
    <w:p w14:paraId="3E9DF58C" w14:textId="77777777" w:rsidR="00485AF5" w:rsidRPr="00525E51" w:rsidRDefault="00485AF5" w:rsidP="00485AF5">
      <w:pPr>
        <w:pStyle w:val="point"/>
        <w:ind w:firstLine="709"/>
        <w:rPr>
          <w:rFonts w:ascii="Times New Roman" w:hAnsi="Times New Roman" w:cs="Times New Roman"/>
          <w:b/>
          <w:i/>
          <w:spacing w:val="-4"/>
          <w:sz w:val="30"/>
          <w:szCs w:val="30"/>
        </w:rPr>
      </w:pPr>
      <w:r w:rsidRPr="00525E51">
        <w:rPr>
          <w:rFonts w:ascii="Times New Roman" w:hAnsi="Times New Roman" w:cs="Times New Roman"/>
          <w:b/>
          <w:i/>
          <w:sz w:val="30"/>
          <w:szCs w:val="30"/>
        </w:rPr>
        <w:t xml:space="preserve">Внешнеэкономическую деятельность в </w:t>
      </w:r>
      <w:r w:rsidR="00525E51" w:rsidRPr="00525E51">
        <w:rPr>
          <w:rFonts w:ascii="Times New Roman" w:hAnsi="Times New Roman" w:cs="Times New Roman"/>
          <w:b/>
          <w:i/>
          <w:sz w:val="30"/>
          <w:szCs w:val="30"/>
        </w:rPr>
        <w:t xml:space="preserve">Наровлянском </w:t>
      </w:r>
      <w:r w:rsidRPr="00525E51">
        <w:rPr>
          <w:rFonts w:ascii="Times New Roman" w:hAnsi="Times New Roman" w:cs="Times New Roman"/>
          <w:b/>
          <w:i/>
          <w:sz w:val="30"/>
          <w:szCs w:val="30"/>
        </w:rPr>
        <w:t xml:space="preserve">районе осуществляют предприятия ОАО «Красный Мозырянин», </w:t>
      </w:r>
      <w:r w:rsidRPr="00525E51">
        <w:rPr>
          <w:rFonts w:ascii="Times New Roman" w:hAnsi="Times New Roman" w:cs="Times New Roman"/>
          <w:b/>
          <w:i/>
          <w:spacing w:val="-4"/>
          <w:sz w:val="30"/>
          <w:szCs w:val="30"/>
        </w:rPr>
        <w:t>ЧТУП «ПлайАртСтрой»</w:t>
      </w:r>
      <w:r w:rsidR="00525E51" w:rsidRPr="00525E51">
        <w:rPr>
          <w:rFonts w:ascii="Times New Roman" w:hAnsi="Times New Roman" w:cs="Times New Roman"/>
          <w:b/>
          <w:i/>
          <w:spacing w:val="-4"/>
          <w:sz w:val="30"/>
          <w:szCs w:val="30"/>
        </w:rPr>
        <w:t>,</w:t>
      </w:r>
      <w:r w:rsidRPr="00525E51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ООО «Полесская мебельная компания»</w:t>
      </w:r>
      <w:r w:rsidRPr="00525E51">
        <w:rPr>
          <w:rFonts w:ascii="Times New Roman" w:hAnsi="Times New Roman" w:cs="Times New Roman"/>
          <w:b/>
          <w:i/>
          <w:sz w:val="30"/>
          <w:szCs w:val="30"/>
        </w:rPr>
        <w:t>, ГСЛХУ «Наровлянский спецлесхоз»</w:t>
      </w:r>
      <w:r w:rsidR="00525E51" w:rsidRPr="00525E51">
        <w:rPr>
          <w:rFonts w:ascii="Times New Roman" w:hAnsi="Times New Roman" w:cs="Times New Roman"/>
          <w:b/>
          <w:i/>
          <w:sz w:val="30"/>
          <w:szCs w:val="30"/>
        </w:rPr>
        <w:t xml:space="preserve"> и </w:t>
      </w:r>
      <w:r w:rsidRPr="00525E51">
        <w:rPr>
          <w:rFonts w:ascii="Times New Roman" w:hAnsi="Times New Roman" w:cs="Times New Roman"/>
          <w:b/>
          <w:i/>
          <w:sz w:val="30"/>
          <w:szCs w:val="30"/>
        </w:rPr>
        <w:t>ОАО «Наровлянский завод гидроаппаратуры».</w:t>
      </w:r>
    </w:p>
    <w:p w14:paraId="4CE1C045" w14:textId="77777777" w:rsidR="00485AF5" w:rsidRPr="00525E51" w:rsidRDefault="00485AF5" w:rsidP="00485AF5">
      <w:pPr>
        <w:pStyle w:val="point"/>
        <w:ind w:firstLine="709"/>
        <w:rPr>
          <w:rFonts w:ascii="Times New Roman" w:hAnsi="Times New Roman" w:cs="Times New Roman"/>
          <w:b/>
          <w:i/>
          <w:spacing w:val="-4"/>
          <w:sz w:val="30"/>
          <w:szCs w:val="30"/>
        </w:rPr>
      </w:pPr>
      <w:r w:rsidRPr="00525E51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Объем экспорта товаров п</w:t>
      </w:r>
      <w:r w:rsidRPr="00525E51">
        <w:rPr>
          <w:rFonts w:ascii="Times New Roman" w:hAnsi="Times New Roman" w:cs="Times New Roman"/>
          <w:b/>
          <w:i/>
          <w:sz w:val="30"/>
          <w:szCs w:val="30"/>
        </w:rPr>
        <w:t xml:space="preserve">о организациям района за январь- август   2023г. </w:t>
      </w:r>
      <w:r w:rsidRPr="00525E51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составил 1</w:t>
      </w:r>
      <w:r w:rsidR="00525E51" w:rsidRPr="00525E51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 </w:t>
      </w:r>
      <w:r w:rsidRPr="00525E51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587,1</w:t>
      </w:r>
      <w:r w:rsidRPr="00525E51">
        <w:rPr>
          <w:rFonts w:ascii="Times New Roman" w:hAnsi="Times New Roman" w:cs="Times New Roman"/>
          <w:b/>
          <w:i/>
          <w:spacing w:val="-4"/>
          <w:sz w:val="30"/>
          <w:szCs w:val="30"/>
        </w:rPr>
        <w:t>тыс.долл.США с темпом роста 101,7</w:t>
      </w:r>
      <w:r w:rsidRPr="00525E51">
        <w:rPr>
          <w:rFonts w:ascii="Times New Roman" w:hAnsi="Times New Roman" w:cs="Times New Roman"/>
          <w:b/>
          <w:i/>
          <w:spacing w:val="-4"/>
          <w:sz w:val="30"/>
          <w:szCs w:val="30"/>
          <w:lang w:val="be-BY"/>
        </w:rPr>
        <w:t xml:space="preserve">%. </w:t>
      </w:r>
    </w:p>
    <w:p w14:paraId="0B99EAB1" w14:textId="77777777" w:rsidR="00B965C6" w:rsidRPr="00525E51" w:rsidRDefault="00B965C6" w:rsidP="00B965C6">
      <w:pPr>
        <w:spacing w:after="0" w:line="240" w:lineRule="auto"/>
        <w:ind w:firstLine="709"/>
        <w:jc w:val="both"/>
        <w:rPr>
          <w:rFonts w:cs="Times New Roman"/>
          <w:b/>
          <w:i/>
          <w:spacing w:val="-4"/>
          <w:sz w:val="30"/>
          <w:szCs w:val="30"/>
        </w:rPr>
      </w:pPr>
      <w:r w:rsidRPr="00525E51">
        <w:rPr>
          <w:rFonts w:cs="Times New Roman"/>
          <w:b/>
          <w:i/>
          <w:spacing w:val="-4"/>
          <w:sz w:val="30"/>
          <w:szCs w:val="30"/>
        </w:rPr>
        <w:t>Сальдо внешней торговли товарами за период январь-август 2023</w:t>
      </w:r>
      <w:r w:rsidR="00525E51" w:rsidRPr="00525E51">
        <w:rPr>
          <w:rFonts w:cs="Times New Roman"/>
          <w:b/>
          <w:i/>
          <w:spacing w:val="-4"/>
          <w:sz w:val="30"/>
          <w:szCs w:val="30"/>
        </w:rPr>
        <w:t> </w:t>
      </w:r>
      <w:r w:rsidRPr="00525E51">
        <w:rPr>
          <w:rFonts w:cs="Times New Roman"/>
          <w:b/>
          <w:i/>
          <w:spacing w:val="-4"/>
          <w:sz w:val="30"/>
          <w:szCs w:val="30"/>
        </w:rPr>
        <w:t>г</w:t>
      </w:r>
      <w:r w:rsidR="00525E51" w:rsidRPr="00525E51">
        <w:rPr>
          <w:rFonts w:cs="Times New Roman"/>
          <w:b/>
          <w:i/>
          <w:spacing w:val="-4"/>
          <w:sz w:val="30"/>
          <w:szCs w:val="30"/>
        </w:rPr>
        <w:t>.</w:t>
      </w:r>
      <w:r w:rsidRPr="00525E51">
        <w:rPr>
          <w:rFonts w:cs="Times New Roman"/>
          <w:b/>
          <w:i/>
          <w:spacing w:val="-4"/>
          <w:sz w:val="30"/>
          <w:szCs w:val="30"/>
        </w:rPr>
        <w:t xml:space="preserve"> в целом по району сложилось положительное в сумме 712,3 тыс. долл. США. </w:t>
      </w:r>
    </w:p>
    <w:p w14:paraId="2ACD30B0" w14:textId="77777777" w:rsidR="00525E51" w:rsidRDefault="00525E51" w:rsidP="00AA7FA0">
      <w:pPr>
        <w:spacing w:after="0" w:line="240" w:lineRule="auto"/>
        <w:ind w:firstLine="709"/>
        <w:jc w:val="both"/>
        <w:rPr>
          <w:rFonts w:asciiTheme="minorHAnsi" w:eastAsia="Times New Roman;Times New Roman" w:hAnsiTheme="minorHAnsi" w:cs="Times New Roman;Times New Roman"/>
          <w:b/>
          <w:bCs/>
          <w:sz w:val="30"/>
          <w:szCs w:val="30"/>
          <w:lang w:eastAsia="zh-CN"/>
        </w:rPr>
      </w:pPr>
    </w:p>
    <w:p w14:paraId="1CD1A61C" w14:textId="77777777" w:rsidR="00525E51" w:rsidRDefault="00525E51" w:rsidP="00AA7FA0">
      <w:pPr>
        <w:spacing w:after="0" w:line="240" w:lineRule="auto"/>
        <w:ind w:firstLine="709"/>
        <w:jc w:val="both"/>
        <w:rPr>
          <w:rFonts w:asciiTheme="minorHAnsi" w:eastAsia="Times New Roman;Times New Roman" w:hAnsiTheme="minorHAnsi" w:cs="Times New Roman;Times New Roman"/>
          <w:b/>
          <w:bCs/>
          <w:sz w:val="30"/>
          <w:szCs w:val="30"/>
          <w:lang w:eastAsia="zh-CN"/>
        </w:rPr>
      </w:pPr>
    </w:p>
    <w:p w14:paraId="31DE2F4E" w14:textId="77777777" w:rsidR="00525E51" w:rsidRDefault="00525E51" w:rsidP="00AA7FA0">
      <w:pPr>
        <w:spacing w:after="0" w:line="240" w:lineRule="auto"/>
        <w:ind w:firstLine="709"/>
        <w:jc w:val="both"/>
        <w:rPr>
          <w:rFonts w:asciiTheme="minorHAnsi" w:eastAsia="Times New Roman;Times New Roman" w:hAnsiTheme="minorHAnsi" w:cs="Times New Roman;Times New Roman"/>
          <w:b/>
          <w:bCs/>
          <w:sz w:val="30"/>
          <w:szCs w:val="30"/>
          <w:lang w:eastAsia="zh-CN"/>
        </w:rPr>
      </w:pPr>
    </w:p>
    <w:p w14:paraId="33C9807A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5452AA8D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0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0265C216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14D377D3" w14:textId="77777777" w:rsidR="0052109D" w:rsidRPr="00700F56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szCs w:val="28"/>
        </w:rPr>
      </w:pPr>
      <w:r w:rsidRPr="00525E51">
        <w:rPr>
          <w:rFonts w:eastAsia="Times New Roman" w:cs="Times New Roman"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  <w:r w:rsidR="00700F56" w:rsidRPr="00525E51">
        <w:rPr>
          <w:rFonts w:eastAsia="Times New Roman" w:cs="Times New Roman"/>
          <w:b/>
          <w:bCs/>
          <w:i/>
          <w:szCs w:val="28"/>
        </w:rPr>
        <w:t>(</w:t>
      </w:r>
      <w:r w:rsidR="00525E51" w:rsidRPr="00525E51">
        <w:rPr>
          <w:rFonts w:eastAsia="Times New Roman" w:cs="Times New Roman"/>
          <w:b/>
          <w:bCs/>
          <w:i/>
          <w:szCs w:val="28"/>
        </w:rPr>
        <w:t>п</w:t>
      </w:r>
      <w:r w:rsidR="00700F56" w:rsidRPr="00525E51">
        <w:rPr>
          <w:rFonts w:eastAsia="Times New Roman" w:cs="Times New Roman"/>
          <w:b/>
          <w:bCs/>
          <w:i/>
          <w:szCs w:val="28"/>
        </w:rPr>
        <w:t>о Наровлянскому району 59%)</w:t>
      </w:r>
      <w:r w:rsidR="00C30BE7" w:rsidRPr="00525E51">
        <w:rPr>
          <w:rFonts w:eastAsia="Times New Roman" w:cs="Times New Roman"/>
          <w:b/>
          <w:bCs/>
          <w:i/>
          <w:szCs w:val="28"/>
        </w:rPr>
        <w:t>.</w:t>
      </w:r>
    </w:p>
    <w:p w14:paraId="0FA8851E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4F07818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6DFFEEC7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0E783BFC" w14:textId="77777777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35A1F768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6" w:name="_Toc91686134"/>
      <w:bookmarkStart w:id="7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8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8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219D27DA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250E8C3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3A2618C3" w14:textId="77777777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6290B134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63EAF2DA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477382A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35689C0F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1"/>
    <w:bookmarkEnd w:id="2"/>
    <w:bookmarkEnd w:id="3"/>
    <w:bookmarkEnd w:id="4"/>
    <w:bookmarkEnd w:id="5"/>
    <w:p w14:paraId="0937BF4C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3AB283E7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6D7AFEB8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228AD5D4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4339D898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0"/>
    <w:p w14:paraId="1D370A00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387601D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YouGov: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5B7F28A0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38467823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Ханса Бёклера,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027BB3C8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5EACA3B2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2010CBAB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3F622E19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48F39CB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75A8E9E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6C211B00" w14:textId="77777777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4D15CD1B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586A5342" w14:textId="77777777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>встрече с главой Республики Мордовия 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 xml:space="preserve">Здуновым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0208EBA3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A760" w14:textId="77777777" w:rsidR="00AE28A0" w:rsidRDefault="00AE28A0" w:rsidP="00AF1467">
      <w:pPr>
        <w:spacing w:after="0" w:line="240" w:lineRule="auto"/>
      </w:pPr>
      <w:r>
        <w:separator/>
      </w:r>
    </w:p>
  </w:endnote>
  <w:endnote w:type="continuationSeparator" w:id="0">
    <w:p w14:paraId="21D04517" w14:textId="77777777" w:rsidR="00AE28A0" w:rsidRDefault="00AE28A0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02B2" w14:textId="77777777" w:rsidR="00AE28A0" w:rsidRDefault="00AE28A0" w:rsidP="00AF1467">
      <w:pPr>
        <w:spacing w:after="0" w:line="240" w:lineRule="auto"/>
      </w:pPr>
      <w:r>
        <w:separator/>
      </w:r>
    </w:p>
  </w:footnote>
  <w:footnote w:type="continuationSeparator" w:id="0">
    <w:p w14:paraId="39E7D154" w14:textId="77777777" w:rsidR="00AE28A0" w:rsidRDefault="00AE28A0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971696"/>
      <w:docPartObj>
        <w:docPartGallery w:val="Page Numbers (Top of Page)"/>
        <w:docPartUnique/>
      </w:docPartObj>
    </w:sdtPr>
    <w:sdtContent>
      <w:p w14:paraId="58DDCB38" w14:textId="77777777" w:rsidR="00311242" w:rsidRDefault="00D64B24">
        <w:pPr>
          <w:pStyle w:val="a7"/>
          <w:jc w:val="center"/>
        </w:pPr>
        <w:r>
          <w:fldChar w:fldCharType="begin"/>
        </w:r>
        <w:r w:rsidR="00311242">
          <w:instrText>PAGE   \* MERGEFORMAT</w:instrText>
        </w:r>
        <w:r>
          <w:fldChar w:fldCharType="separate"/>
        </w:r>
        <w:r w:rsidR="00525E51">
          <w:rPr>
            <w:noProof/>
          </w:rPr>
          <w:t>18</w:t>
        </w:r>
        <w:r>
          <w:fldChar w:fldCharType="end"/>
        </w:r>
      </w:p>
    </w:sdtContent>
  </w:sdt>
  <w:p w14:paraId="4FCA0AD2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0424134">
    <w:abstractNumId w:val="0"/>
  </w:num>
  <w:num w:numId="2" w16cid:durableId="648634243">
    <w:abstractNumId w:val="1"/>
  </w:num>
  <w:num w:numId="3" w16cid:durableId="2009207380">
    <w:abstractNumId w:val="3"/>
  </w:num>
  <w:num w:numId="4" w16cid:durableId="1040396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351F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70BDF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03DFC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053A1"/>
    <w:rsid w:val="0041460C"/>
    <w:rsid w:val="00431485"/>
    <w:rsid w:val="0044161B"/>
    <w:rsid w:val="0044224A"/>
    <w:rsid w:val="004477D3"/>
    <w:rsid w:val="00450DF9"/>
    <w:rsid w:val="00450FCC"/>
    <w:rsid w:val="00473580"/>
    <w:rsid w:val="00485AF5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25E51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0FD5"/>
    <w:rsid w:val="005A2236"/>
    <w:rsid w:val="005A438A"/>
    <w:rsid w:val="005B0942"/>
    <w:rsid w:val="005B31CB"/>
    <w:rsid w:val="005B3C11"/>
    <w:rsid w:val="005C1780"/>
    <w:rsid w:val="005C54B3"/>
    <w:rsid w:val="005C611E"/>
    <w:rsid w:val="005D6E39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6F5BD8"/>
    <w:rsid w:val="006F7101"/>
    <w:rsid w:val="00700F56"/>
    <w:rsid w:val="007022BA"/>
    <w:rsid w:val="007049E8"/>
    <w:rsid w:val="00713293"/>
    <w:rsid w:val="007224C3"/>
    <w:rsid w:val="00733B05"/>
    <w:rsid w:val="00736132"/>
    <w:rsid w:val="00743B78"/>
    <w:rsid w:val="00746750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6667C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151A8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C6A7A"/>
    <w:rsid w:val="00AE28A0"/>
    <w:rsid w:val="00AE3F1B"/>
    <w:rsid w:val="00AF1467"/>
    <w:rsid w:val="00AF2B8F"/>
    <w:rsid w:val="00B02B58"/>
    <w:rsid w:val="00B04104"/>
    <w:rsid w:val="00B16603"/>
    <w:rsid w:val="00B17A69"/>
    <w:rsid w:val="00B217BC"/>
    <w:rsid w:val="00B241F6"/>
    <w:rsid w:val="00B26A3A"/>
    <w:rsid w:val="00B32B7A"/>
    <w:rsid w:val="00B446AE"/>
    <w:rsid w:val="00B73E9C"/>
    <w:rsid w:val="00B87BA9"/>
    <w:rsid w:val="00B94C8A"/>
    <w:rsid w:val="00B965C6"/>
    <w:rsid w:val="00BA4B29"/>
    <w:rsid w:val="00BA720A"/>
    <w:rsid w:val="00BB630B"/>
    <w:rsid w:val="00BB70C3"/>
    <w:rsid w:val="00BC0BF0"/>
    <w:rsid w:val="00BC2C1F"/>
    <w:rsid w:val="00BD17AD"/>
    <w:rsid w:val="00BD5427"/>
    <w:rsid w:val="00BD5B7C"/>
    <w:rsid w:val="00BF0306"/>
    <w:rsid w:val="00BF4B78"/>
    <w:rsid w:val="00C0143D"/>
    <w:rsid w:val="00C023CF"/>
    <w:rsid w:val="00C222B5"/>
    <w:rsid w:val="00C236BE"/>
    <w:rsid w:val="00C27974"/>
    <w:rsid w:val="00C302B7"/>
    <w:rsid w:val="00C30BE7"/>
    <w:rsid w:val="00C31AF2"/>
    <w:rsid w:val="00C3605D"/>
    <w:rsid w:val="00C41DF6"/>
    <w:rsid w:val="00C459D3"/>
    <w:rsid w:val="00C60636"/>
    <w:rsid w:val="00C73585"/>
    <w:rsid w:val="00C7498C"/>
    <w:rsid w:val="00C76FC9"/>
    <w:rsid w:val="00C77A8C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64B24"/>
    <w:rsid w:val="00D71E00"/>
    <w:rsid w:val="00D76FF5"/>
    <w:rsid w:val="00D927B3"/>
    <w:rsid w:val="00D93E98"/>
    <w:rsid w:val="00DB22E0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07134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4B74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0839"/>
  <w15:docId w15:val="{53B8230A-27F5-4C51-A996-3C4494CE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Основной текст_"/>
    <w:link w:val="11"/>
    <w:rsid w:val="00746750"/>
    <w:rPr>
      <w:sz w:val="27"/>
      <w:szCs w:val="27"/>
      <w:shd w:val="clear" w:color="auto" w:fill="FFFFFF"/>
      <w:lang w:eastAsia="ru-RU"/>
    </w:rPr>
  </w:style>
  <w:style w:type="paragraph" w:customStyle="1" w:styleId="11">
    <w:name w:val="Основной текст1"/>
    <w:aliases w:val="OPM,Body text"/>
    <w:basedOn w:val="a"/>
    <w:link w:val="af"/>
    <w:rsid w:val="00746750"/>
    <w:pPr>
      <w:shd w:val="clear" w:color="auto" w:fill="FFFFFF"/>
      <w:spacing w:after="0" w:line="192" w:lineRule="exact"/>
      <w:jc w:val="both"/>
    </w:pPr>
    <w:rPr>
      <w:sz w:val="27"/>
      <w:szCs w:val="27"/>
      <w:lang w:eastAsia="ru-RU"/>
    </w:rPr>
  </w:style>
  <w:style w:type="paragraph" w:customStyle="1" w:styleId="point">
    <w:name w:val="point"/>
    <w:basedOn w:val="a"/>
    <w:rsid w:val="00485AF5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5165-679A-4EED-B36C-BA85EFE9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Admin</cp:lastModifiedBy>
  <cp:revision>2</cp:revision>
  <cp:lastPrinted>2023-10-30T13:29:00Z</cp:lastPrinted>
  <dcterms:created xsi:type="dcterms:W3CDTF">2023-11-13T09:24:00Z</dcterms:created>
  <dcterms:modified xsi:type="dcterms:W3CDTF">2023-11-13T09:24:00Z</dcterms:modified>
</cp:coreProperties>
</file>