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F9" w:rsidRPr="00C93899" w:rsidRDefault="00CF5924" w:rsidP="001A62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О</w:t>
      </w:r>
      <w:r w:rsidR="00436FF9"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б итогах социально-экономического развития Наровлянского района за 2016 г. –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436FF9"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2020 года</w:t>
      </w:r>
    </w:p>
    <w:p w:rsidR="00436FF9" w:rsidRPr="00C93899" w:rsidRDefault="00436FF9" w:rsidP="001A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36FF9" w:rsidRPr="00C93899" w:rsidRDefault="00436FF9" w:rsidP="001A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Главная цель социально-экономического развития Наровлянского района на 2016–2020 годы – обеспечение устойчивого развития территории,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района. </w:t>
      </w:r>
    </w:p>
    <w:p w:rsidR="00436FF9" w:rsidRPr="00C93899" w:rsidRDefault="00436FF9" w:rsidP="001A6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За </w:t>
      </w:r>
      <w:r w:rsidR="00CF5924" w:rsidRPr="00C93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пять лет</w:t>
      </w:r>
      <w:r w:rsidRPr="00C93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</w:t>
      </w:r>
      <w:proofErr w:type="spellStart"/>
      <w:r w:rsidRPr="00C93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Наровлянском</w:t>
      </w:r>
      <w:proofErr w:type="spellEnd"/>
      <w:r w:rsidRPr="00C93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районе обеспечена положительная динамика основных показателей социально-экономического развития.</w:t>
      </w:r>
    </w:p>
    <w:p w:rsidR="005C2359" w:rsidRPr="00C93899" w:rsidRDefault="00436FF9" w:rsidP="001A6261">
      <w:pPr>
        <w:spacing w:after="0" w:line="240" w:lineRule="auto"/>
        <w:jc w:val="both"/>
        <w:rPr>
          <w:rFonts w:ascii="Times New Roman" w:hAnsi="Times New Roman"/>
        </w:rPr>
      </w:pPr>
      <w:r w:rsidRPr="00C93899">
        <w:rPr>
          <w:rFonts w:ascii="Times New Roman" w:hAnsi="Times New Roman"/>
        </w:rPr>
        <w:tab/>
      </w:r>
    </w:p>
    <w:p w:rsidR="00692F18" w:rsidRPr="00C93899" w:rsidRDefault="00692F18" w:rsidP="00692F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hAnsi="Times New Roman"/>
          <w:b/>
          <w:sz w:val="30"/>
          <w:szCs w:val="30"/>
          <w:lang w:eastAsia="ru-RU"/>
        </w:rPr>
        <w:t>Промышленность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За 2016-2020г.г. основополагающая роль в развитии экономики принадлежала промышленности, обеспечивавшей устойчивое функционирование других отраслей народно-хозяйственного комплекса, удовлетворение потребностей населения в товарах и определявшей экспортный потенциал и экономическую безопасность. Предприятия обеспечивают более 20% занятости экономически активного населения.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Ведущими отраслями промышленного комплекса являются производство кондитерских изделий, оборудования, деревообрабатывающая промышленность, производство мебели, строительных материалов и другие.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Основными промышленными предприятиями в районе являются 2 предприятия - открытое акционерное общество «Красный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Мозырянин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 (далее – ОАО «Красный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Мозырянин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») и открытое акционерное общество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завод гидроаппаратуры» (далее - ОАО «НЗГА»). Так же в структуру промышленного производства района входит КУП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Жилкомстрой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осуществляющий теплоснабжение, водоснабжение, а также вспомогательное деревообрабатывающее производство.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 районе постоянно расширяются, работают над совершенством предприятия частной формы собственности ОАО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Полесская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мебельная компания», ЧТУП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ПлайартСтрой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ООО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БелИВВа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», ООО «Колода», и другие.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С 2016 по 2020 годы индекс промышленного производства района увеличился с 86,3 % за 2016 год до 105,3 % в 2020 году.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 расчете на 1 жителя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Наровлянском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районе по итогам 2020 года произведено промышленной продукции на 2,1 млн. рублей. 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Внешнеэкономическую деятельность по экспорту товаров в районе осуществляют открытое акционерное общество «Красный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Мозырянин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 (кондитерские изделия), занимающее около 60 % экспорта в целом в </w:t>
      </w:r>
      <w:r w:rsidRPr="00C93899">
        <w:rPr>
          <w:rFonts w:ascii="Times New Roman" w:hAnsi="Times New Roman"/>
          <w:sz w:val="30"/>
          <w:szCs w:val="30"/>
          <w:lang w:eastAsia="ru-RU"/>
        </w:rPr>
        <w:lastRenderedPageBreak/>
        <w:t>районе, и предприятия частной формы собственности (экспорт пиломатериалов): частное производственное унитарное предприятие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ПлайАртСтрой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общество с ограниченной ответственность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БелИВВА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фермерское хозяйство «Славная поляна» и другие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Объем экспорта товаров по организациям (без учета республиканских) за 2016–2020 годы в районе увеличился в 40 раз.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Экспорт услуг в целом по району осуществляется за счет: оказания иностранным гражданам услуг в области здравоохранения (УЗ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центральная районная больница»), транспортных услуг  (ОДО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Велис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ЧПТУП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КупецТранс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ЧПТУП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Белтрансинфо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ООО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ФилСвет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»), туристических услуг (Учреждение "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районная организационная структура Республиканского государственно-общественного объединения "Белорусское общество охотников и рыболовов"), услуг гостиницы  (КУП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Жилкомстрой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,).  Более 80% оказываемых услуг приходится на транспортные услуги предприятиями частной формы собственности.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Объем экспорта услуг по предприятиям (без учета республиканских)  за пятилетний период увеличился в 2 раза.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Инвестиционная деятельность является важнейшим аспектом социально-экономического развития района.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Всего с 2016 года по 2020 год объем инвестиций в основной капитал по предприятиям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составил более 74 млн. руб. Темп роста инвестиций  за пятилетний период - 103,5% 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Инвестиции направлялись на развитие отраслей социальной сферы, сельского хозяйства, предприятий промышленности, жилищно-коммунального хозяйства, торговли, частного бизнеса.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 целях повышения качества и конкурентоспособности продукции ОАО «Красный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Мозырянин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 производится обновление производственных линий по выпуску кондитерских изделий.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 2016 году в ОАО «Красный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Мозырянин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 завершена реализация первого пускового комплекса инвестиционного проекта – введена в эксплуатацию линия по производству пастилы ускоренным способом. В настоящее время начато производство пастилы с мармеладом, что обеспечило производство и реализацию инновационной продукции.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92F18" w:rsidRPr="00C93899" w:rsidRDefault="00692F18" w:rsidP="00692F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hAnsi="Times New Roman"/>
          <w:b/>
          <w:sz w:val="30"/>
          <w:szCs w:val="30"/>
          <w:lang w:eastAsia="ru-RU"/>
        </w:rPr>
        <w:t>Развитие потребительского рынка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Потребительский рынок района динамично развивается.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Развитие торговли и общественного питания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характеризуются стабильным развитием потребительского рынка, преимущественно за счет реализации товаров отечественного производства, совершенствования материально-технической базы торговых организаций, открытия новых торговых объектов. 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lastRenderedPageBreak/>
        <w:t>Принятые в районе определенные меры, рост доходов населения позволили обеспечить показатели развития потребительского  рынка.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Торговая сеть района представлена 97 объектами (магазины, павильоны) торговой площадью 8041,7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м.кв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., при этом выполнение государственного социального стандарта по обеспеченности торговыми площадями в районе составляет 751,5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м.кв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. на 1000 жителей, при нормативе 600.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Наиболее значимыми торговыми объектами, введенными в эксплуатацию в районе за отчетный период, являются:</w:t>
      </w:r>
    </w:p>
    <w:p w:rsidR="00692F18" w:rsidRPr="00C93899" w:rsidRDefault="00692F18" w:rsidP="00692F1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частные магазины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МОТОВЕЛОтехникаЗапчасти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«Торговый центр», магазин «Копеечка» ЗОО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Доброном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>», магазин «Три цены» ООО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ФиксМаркет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», магазин «Продукты +»  ЧПТУП «Вал-Торг» и другие.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Темп роста розничного товарооборота за пятилетний период составил 103,5% 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Основной целью развития общественного питания является обеспечение услугами питания различных категорий населения на основе повышения их качества и расширения номенклатуры, а также обеспечения их доступности по ценовому фактору.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 настоящее время сеть общественного питания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представлена 11 ед. объектов общественного питания на 490 посадочных мест.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 2018 в районе открылись кафе «Колибри» и ресторан «Хата земляка» (ЧТУП «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ВарПалАн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»). В 2019 году открылось кафе «GRAND» (ИП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Шаруха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А.В.).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92F18" w:rsidRPr="00C93899" w:rsidRDefault="00692F18" w:rsidP="00692F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hAnsi="Times New Roman"/>
          <w:b/>
          <w:sz w:val="30"/>
          <w:szCs w:val="30"/>
          <w:lang w:eastAsia="ru-RU"/>
        </w:rPr>
        <w:t xml:space="preserve">Развитие предпринимательства.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 2016–2020 годах в районе сохранилась положительная динамика показателей развития малого предпринимательства.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Развитие предпринимательства является важным условием устойчивого развития района, обеспечивающее производство товаров и услуг, занятость местного населения, налоговые поступления в бюджет.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Важным звеном общей стратегии социально-экономического развития является расширение частного сектора, способного внести весомый вклад в экономику, создавать дополнительные рабочие места.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1 января 2021 года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Наровлянском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районе зарегистрировано 158 субъектов малого и среднего предпринимательства, в том числе 51 малые организации, 5 субъектов среднего предпринимательства и 102 индивидуальных предпринимателя. 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За пятилетний период в районе создано 17 предприятий, в том числе 14 в производственной сфере.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За 2016-2020г.г. в части развития предпринимательства, планировалось достичь количества индивидуальных предпринимателей на </w:t>
      </w:r>
      <w:r w:rsidRPr="00C93899">
        <w:rPr>
          <w:rFonts w:ascii="Times New Roman" w:hAnsi="Times New Roman"/>
          <w:sz w:val="30"/>
          <w:szCs w:val="30"/>
          <w:lang w:eastAsia="ru-RU"/>
        </w:rPr>
        <w:lastRenderedPageBreak/>
        <w:t>1 тыс. занятых в экономике района – 19 человек, фактически составило 23 человека, а количества юридических лиц – субъектов малого и среднего предпринимательства на 1 тыс. занятых в экономике планировалось и составило 13 единиц.</w:t>
      </w:r>
    </w:p>
    <w:p w:rsidR="00692F1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За пятилетку в районе создано 277 рабочих мест за счет создания новых производствах. </w:t>
      </w:r>
    </w:p>
    <w:p w:rsidR="007D68D8" w:rsidRPr="00C93899" w:rsidRDefault="00692F18" w:rsidP="00692F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Вместе с тем не удалось за 2016-2020г.г.  в полной мере решить ряд проблем, которые оказывают сдерживающее влияние на динамичное социально-экономическое развитие района. Слабой остается восприимчивость предприятий и организаций к инновациям, привлечению в экономику прямых иностранных инвестиций, развитию импортозамещающих производств.</w:t>
      </w:r>
    </w:p>
    <w:p w:rsidR="00692F18" w:rsidRPr="00C93899" w:rsidRDefault="00692F18" w:rsidP="00692F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E832E5" w:rsidRPr="00C93899" w:rsidRDefault="00E832E5" w:rsidP="00E832E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Агропромышленный комплекс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По итогам работы за 2020 год производство валовой продукции сельского хозяйства в сельскохозяйственных организациях составило 92,3 % к аналогичному периоду 2019 года.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 истекшие 5 лет в сельскохозяйственных организациях увеличились объемны</w:t>
      </w:r>
      <w:bookmarkStart w:id="0" w:name="_GoBack"/>
      <w:bookmarkEnd w:id="0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е показатели в отрасли животноводства. Продукция выращивания КРС в 2020 году составила 827,0 тонн (в 2016 г. – 859 тонн, в 2019 г. -  786,5 тонн), свиней 1514,3 тонны (в 2016 г. – 376 тонн, 2019 г. - 1437,0 тонны). Валовой надой молока в 2020 году составил 15,6 тыс. тонн, увеличился в сравнении с 2016 годом на 70 % (в 2016 г. – 9,3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тыс.тонн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, в 2019 – 13,9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тыс.тонн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), его реализация в 2020 году составила 14,5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тыс.тонн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( в 2019 г. – 13,0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тыс.тонн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). Средний удой от одной коровы составил 6158 килограмм, увеличился на 42% по сравнению с 2016 годам (в 2016 - 4311 килограмм, в 2019 г. - 5758 килограмм).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Валовой сбор зерновых и зернобобовых культур в 2020 году составил 20,4 тыс. тонн при средней урожайности 27,6 ц/га. (в 2019 - 27,8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тыс.тонн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, средняя урожайность – 33,1 ц/га).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Государственной программой по преодолению последствий катастрофы на Чернобыльской АЭС на 2011-2015 годы и на период до 2020 года ежегодно на загрязненных радионуклидами землях выполняются работы по защитным мероприятиям. Только в 2020 году не эти цели было направленно более 297,7 тысяч рублей.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увеличения производства основных видов продукции в сельскохозяйственных организациях, расположенных 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проводятся работы по реконструкции, строительству производственных объектов.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Государственной программы по преодолению последствий катастрофы на Чернобыльской АЭС в 2018 года введен в эксплуатацию тентовый сарай для содержания молодняка КРС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Свеча,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  2020 году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Завойть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введена в эксплуатацию, после  реконструкции объекта помещения бывшего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свинокомплекса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молочно-товарная ферма на 550 дойных коров, 700 голов молодняка КРС, что позволило увеличить поголовье КРС и дойного стада, валовое производство  молока и продукцию выращивания крупного рогатого скота и дало новые рабочие места.</w:t>
      </w:r>
    </w:p>
    <w:p w:rsidR="00436FF9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2021 году планируется ввод в эксплуатацию машинотракторного парка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Завойть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построенного за счет собственных средств ГП «Совхоз-комбинат «Заря», что позволит улучшить эффективность работы техники, сокращение сроков уборочных работ, снижения затрат на производство сельскохозяйственной продукции и даст дополнительно рабочие места.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4C4752" w:rsidRPr="00C93899" w:rsidRDefault="004C4752" w:rsidP="004C4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Строительный комплекс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>Строительные работы в районе осуществляют 2 организации и предприятия с общей численностью более 186 человек.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За 12 месяцев 2020 годы введено в эксплуатацию 2 920,2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кв.м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жилья: 3 индивидуальных жилых дома, 40-квартирный жилой дом в микрорайоне «Новый», 2 одноквартирных жилых дома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аг.Завойть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Для многодетных семей, с государственной поддержкой построено и введено в эксплуатацию 3 индивидуальных жилых дома общей площадью 729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кв.м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За 2020 год в районе реализовано ряд важнейших проектов:</w:t>
      </w:r>
    </w:p>
    <w:p w:rsidR="004C4752" w:rsidRPr="00C93899" w:rsidRDefault="004C4752" w:rsidP="005F2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«Реконструкция помещения бывшего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свинокомплекса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молочнотоварную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ферму на 550 голов дойных коров, 700 голов молодняка в населенном пункте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Завойть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района»;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«Два одноквартирного жилых дома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агрогородке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Завойть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района»;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«Строительство магазина по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ул.Комсомольская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5F2165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«Строительство сетей газоснабжения по объекту: «Многоквартирный жилой дом № 5 в микрорайоне «Новый»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«Строительство многоквартирного жилого дома №5 в микрорайоне «Новый»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В настоящее время в районе реализовывается ряд важнейших проектов: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>Реконструкция зданий ЦРБ и поликлиники учреждения здравоохранения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ЦРБ» по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ул.Октябрьская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, 119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(5-й этап);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Строительство многоквартирного жилого дом поз.17 в микрорайоне «Новый»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«Строительство молочно-товарной фермы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н.п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Будки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района»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 xml:space="preserve">В 2021 году планируется ввести 3 500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кв.м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., в том числе и для граждан, состоящих на учете нуждающихся в улучшении жилищных условий. Выполнение прогнозного показателя по вводу общей площади жилья в текущем году осуществлялось в основном за счет квартир коммерческого использования.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hAnsi="Times New Roman"/>
        </w:rPr>
      </w:pP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Реализация мероприятий по преодолению последствий катастрофы на Чернобыльской АЭС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Чернобыльская катастрофа - крупнейшая радиационная авария в мире. Она нарушила хозяйственную деятельность и сложившийся уклад жизни населения и требует осуществления комплекса защитных мер для снижения внутреннего и внешнего облучения людей.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 относится к наиболее пострадавшим от чернобыльской катастрофы. 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на территории района насчитывается 35 населенных пунктов, где проживает 10 тысяч 717 человек, из них город 8 тысяч 247 человек, сельское население составляет 2 тысячи 470 человек.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Для сравнения: на 01.01.1986 года численность населения составляла 27900, из них на селе - 16400, в городе - 11500. Вся площадь нашего района, а это 158882 гектара, загрязнена цезием - 137. Территория радиоактивного загрязнения в зависимости от плотности загрязнения почв радионуклидами и степени воздействия радиации на человека подразделяется на зоны.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31 декабря 2010 года постановлением Совета Министров РБ № 1922 утверждена Государственная программа по преодолению последствий катастрофы на Чернобыльской АЭС на 2011-2015 годы и на период до 2020 года. Цель программы -дальнейшее снижение риска неблагоприятных последствий катастрофы на Чернобыльской АЭС, и содействие переходу от реабилитации территорий к их устойчивому социально-экономическому развитию при безусловном обеспечении требований радиационной медицины.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>Выполнение мероприятий программы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позвол</w:t>
      </w:r>
      <w:r w:rsidR="005F2165" w:rsidRPr="00C93899">
        <w:rPr>
          <w:rFonts w:ascii="Times New Roman" w:eastAsia="Times New Roman" w:hAnsi="Times New Roman"/>
          <w:sz w:val="30"/>
          <w:szCs w:val="30"/>
          <w:lang w:eastAsia="ru-RU"/>
        </w:rPr>
        <w:t>яе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предоставлять предусмотренные законодательством льготы и компенсации пострадавшему населению; оплачивать питание учащихся, проживающих на загрязненных территориях; выполнять комплекс мероприятий на территориях, с которых отселено население; проводить снос непригодных к повторному использованию, строений в населенных пунктах, относящихся или относившихся к зонам радиоактивного загрязнения; обеспечивать выполнение комплекса защитных мер в общественном и частном секторах сельскохозяйственного производства, а также социально-экономическое развитие пострадавших территорий.</w:t>
      </w:r>
    </w:p>
    <w:p w:rsidR="004C4752" w:rsidRPr="00C93899" w:rsidRDefault="004C4752" w:rsidP="004C475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Значительные средства направлены на жилищное строительство для льготной категории пострадавшего населения и специалистов, прибывших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на работу в пострадавшие районы. За период 2015-2020 годы 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построено 25 квартир для специалистов, прибывших на работу в пострадавшие районы. Оказана помощь сельскохозяйственным организациям района путем ввода в эксплуатацию объекта </w:t>
      </w:r>
      <w:r w:rsidRPr="00C93899">
        <w:rPr>
          <w:rFonts w:ascii="Times New Roman" w:hAnsi="Times New Roman"/>
          <w:sz w:val="30"/>
          <w:szCs w:val="30"/>
        </w:rPr>
        <w:t xml:space="preserve">«Реконструкция помещения бывшего </w:t>
      </w:r>
      <w:proofErr w:type="spellStart"/>
      <w:r w:rsidRPr="00C93899">
        <w:rPr>
          <w:rFonts w:ascii="Times New Roman" w:hAnsi="Times New Roman"/>
          <w:sz w:val="30"/>
          <w:szCs w:val="30"/>
        </w:rPr>
        <w:t>свинокомплекса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под </w:t>
      </w:r>
      <w:proofErr w:type="spellStart"/>
      <w:r w:rsidRPr="00C93899">
        <w:rPr>
          <w:rFonts w:ascii="Times New Roman" w:hAnsi="Times New Roman"/>
          <w:sz w:val="30"/>
          <w:szCs w:val="30"/>
        </w:rPr>
        <w:t>молочнотоварную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ферму на 550 голов дойных коров, 700 голов молодняка в населенном пункте </w:t>
      </w:r>
      <w:proofErr w:type="spellStart"/>
      <w:r w:rsidRPr="00C93899">
        <w:rPr>
          <w:rFonts w:ascii="Times New Roman" w:hAnsi="Times New Roman"/>
          <w:sz w:val="30"/>
          <w:szCs w:val="30"/>
        </w:rPr>
        <w:t>Завойть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района»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сумму более 22 млн. рублей. 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Одной из проблем, которая существует сегодня в районе, является проблема бросовых, как правило, загрязненных домов, оставленных жителями при переселении в чистые зоны, а также очаговое загрязнение почв повышенными дозами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радиоцезия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и стронция на территориях предприятий и учреждений, расположенных в районе. С целью предотвращения несанкционированного вывоза загрязненных строений, снижения пожарной опасности загрязненной территории, исключения проживания людей в покинутых зданиях, снижения психологического воздействия на население силами республиканского специализированного унитарного предприятия «Полесье».</w:t>
      </w:r>
    </w:p>
    <w:p w:rsidR="004C4752" w:rsidRPr="00C93899" w:rsidRDefault="004C4752" w:rsidP="004C4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Решением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райисполкома от 27.02.2020г. № 142 «О захоронении остатков зданий и сооружений с удалением древесно-кустарниковой растительности, плодово-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ягоднях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насаждений с рекультивацией земель в городе Наровле 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районе» определены объекты на включение в программу мероприятий по сносу и захоронению в 2020 году. Согласно уточненной программе мероприятий по ликвидации объектов, дезактивации, захоронению отходов, требующих специального обращения, по Гомельской области на 2020 год </w:t>
      </w:r>
      <w:r w:rsidR="005F2165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было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утверждено на снос объектов в: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17;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д.Конотоп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1;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аг.Головчицы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5;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д.Чехи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5;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д.Свеча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5;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аг.Демидов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7;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д.Буда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Головчицкая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8;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д.Будки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3;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аг.Киров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7;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д.Дзержинск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3;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аг.Вербовичи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31;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д.Антонов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5;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д.Грушевка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1;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аг.Завайть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8;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д.Физинки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– 2.</w:t>
      </w:r>
    </w:p>
    <w:p w:rsidR="00436FF9" w:rsidRPr="00C93899" w:rsidRDefault="00436FF9" w:rsidP="001A626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1402BF" w:rsidRPr="00C93899" w:rsidRDefault="001402BF" w:rsidP="00E832E5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Социальная политика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Проводится целенаправленная работа по реализации основных направлений государственной политики в сфере занятости населения.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январе-ноябре 2020 года номинальная начисленная среднемесячная заработная плата в организациях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достигла 931,0 рублей и увеличилась по сравнению с 2016 годом в 1,8 раза.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области по уровню номинальной среднемесячной заработной платы в январе – ноябре 2020 года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 находится на 7 месте. По итогам работы за январь-октябрь 2020 года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 также занимал 7 место. Среди районов своей подгруппы (малочисленных – Брагинского,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Чечерского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Лоевского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Кормянского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) - первое место.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Уровень номинальной начисленной среднемесячной заработной платы в организациях бюджетной сферы за 11 мес. 2020 года сложился в размере 733,6 рублей и увеличился по сравнению 2016 годом в 1,6 раза. 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январе-ноябре 2020 года (самая высокая заработная плата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Речицком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районе, самая низкая –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Кормянском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секторе занятости населения на протяжении длительного времени сохраняется стабильная и управляемая ситуация. Уровень регистрируемой безработицы сохранялся в 2016-2020 годах в пределах 0,2 – 0,9 процента от экономически активного населения. По состоянию на 1 мая 2020 года уровень безработицы к численности экономически активного населения составил 0,1 процент.</w:t>
      </w:r>
    </w:p>
    <w:p w:rsidR="001402BF" w:rsidRPr="00C93899" w:rsidRDefault="001402BF" w:rsidP="00BF4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 период 2016 г</w:t>
      </w:r>
      <w:r w:rsidR="005F2165" w:rsidRPr="00C9389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по 31 декабря 2020 года в районе наблюдается снижение зарегистрированной безработицы (с 0,9% до 0,1%). По состоянию на 1 января 2021 г. на учете состояло 5 безработных. Из них 19% - категории граждан, наименее конкурентоспособных на рынке труда, нуждающихся в дополнительных гарантиях занятости – освобожденные из мест лишения свободы, лица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предпенсионного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возраста, одинок</w:t>
      </w:r>
      <w:r w:rsidR="005F2165" w:rsidRPr="00C93899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е и многодетные родители.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Тем не менее, уровень безработицы не выходит за рамки прогнозных показателей (1,0 процента на конец 2019 года), на 1 января 2021 г. составил 0,1 процент к численности экономически активного населения (на 1 января 2020 г. – 0,2 процента).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Реализация мероприятий ряда социальных программ способствовала повышению уровня и качества жизни пожилых людей, ветеранов, лиц, пострадавших от последствий войн, усилению их социальной защищенности, обеспечению полноценного участия в жизни общества.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Динамично развивается 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территориальный центр социального обслуживания населения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центр), который открыт в 2004 году в г. Наровля. Ведется работа по внедрению новых видов социальных услуг, открываются новые кружки, клубы. В центре работает 4 отделения.  В отделении социальной адаптации и реабилитации работает кружок «Владей собой», клуб «Мы молоды душой» для граждан пожилого возраста, клуб «Моя семья – мой теплый дом», в январе 2019 г. открыт новый клуб «Уроки жизни» для лиц из числа детей-сирот и детей, оставшихся без попечения родителей. В отделении дневного пребывания для инвалидов открыты и функционируют кружки: «ЭРОН» (спортивный), «Умелые ручки», «Уютный дом», компьютерный кружок «Мой друг компьютер», а также клубы «Дружба», «Азбука здоровья», «Основы православия». С 2019 года в отделении дневного пребывания для инвалидов открыт кружок «Созвучие», для реализации трудовой реабилитации инвалидов созданы и функционируют 2 реабилитационно-трудовые мастерские. </w:t>
      </w:r>
      <w:r w:rsidRPr="00C93899">
        <w:rPr>
          <w:rFonts w:ascii="Times New Roman" w:eastAsia="Times New Roman" w:hAnsi="Times New Roman"/>
          <w:sz w:val="30"/>
          <w:szCs w:val="30"/>
          <w:lang w:val="en-US" w:eastAsia="ru-RU"/>
        </w:rPr>
        <w:t>C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2015 года в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центре создан компьютерный класс для граждан пожилого возраста и инвалидов. С июля 2014 года в районе открыта «кризисная» комната.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обеспечения доступности социального обслуживания жителям села открыто 6 социальных пунктов, из них 5 на выездной основе. Социальные пункты работают 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агрогородках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нашего района.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Внедряются </w:t>
      </w:r>
      <w:r w:rsidRPr="00C93899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новые виды социальных услуг.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С января 2019 года гражданам, нуждающимся в уходе, предоставляются </w:t>
      </w:r>
      <w:r w:rsidRPr="00C93899">
        <w:rPr>
          <w:rFonts w:ascii="Times New Roman" w:hAnsi="Times New Roman"/>
          <w:b/>
          <w:sz w:val="30"/>
          <w:szCs w:val="30"/>
        </w:rPr>
        <w:t>услуги сиделки.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Решением 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районного исполнительного комитета в районе с марта 2019 года создана 1 </w:t>
      </w:r>
      <w:r w:rsidRPr="00C93899">
        <w:rPr>
          <w:rFonts w:ascii="Times New Roman" w:hAnsi="Times New Roman"/>
          <w:b/>
          <w:sz w:val="30"/>
          <w:szCs w:val="30"/>
        </w:rPr>
        <w:t>замещающая семья</w:t>
      </w:r>
      <w:r w:rsidRPr="00C93899">
        <w:rPr>
          <w:rFonts w:ascii="Times New Roman" w:hAnsi="Times New Roman"/>
          <w:sz w:val="30"/>
          <w:szCs w:val="30"/>
        </w:rPr>
        <w:t>, где социальный работник совместно проживает и ведет общее хозяйство с инвалидом 1 гр., нуждающимся в социальных услугах.</w:t>
      </w:r>
    </w:p>
    <w:p w:rsidR="00E832E5" w:rsidRPr="00C93899" w:rsidRDefault="00E832E5" w:rsidP="00E832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</w:rPr>
        <w:t xml:space="preserve">В июне 2019 года создана </w:t>
      </w:r>
      <w:r w:rsidRPr="00C93899">
        <w:rPr>
          <w:rFonts w:ascii="Times New Roman" w:hAnsi="Times New Roman"/>
          <w:b/>
          <w:sz w:val="30"/>
          <w:szCs w:val="30"/>
        </w:rPr>
        <w:t xml:space="preserve">гостевая семья, </w:t>
      </w:r>
      <w:r w:rsidRPr="00C93899">
        <w:rPr>
          <w:rFonts w:ascii="Times New Roman" w:hAnsi="Times New Roman"/>
          <w:sz w:val="30"/>
          <w:szCs w:val="30"/>
        </w:rPr>
        <w:t xml:space="preserve">где одинокий пенсионер приглашается на проживание в трудоспособную семью на выходные или праздничные дни, а также </w:t>
      </w:r>
      <w:r w:rsidRPr="00C93899">
        <w:rPr>
          <w:rFonts w:ascii="Times New Roman" w:hAnsi="Times New Roman"/>
          <w:b/>
          <w:sz w:val="30"/>
          <w:szCs w:val="30"/>
        </w:rPr>
        <w:t xml:space="preserve">дом совместного проживания частной формы собственности, </w:t>
      </w:r>
      <w:r w:rsidRPr="00C93899">
        <w:rPr>
          <w:rFonts w:ascii="Times New Roman" w:hAnsi="Times New Roman"/>
          <w:sz w:val="30"/>
          <w:szCs w:val="30"/>
        </w:rPr>
        <w:t xml:space="preserve">где несколько нетрудоспособных граждан совместно проживают в течение длительного периода и получают социальные услуги на дому.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2020 году создана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приемная семья. 2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инвалидам 1 группы оказываются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услуги помощника по сопровождению.</w:t>
      </w:r>
    </w:p>
    <w:p w:rsidR="00E832E5" w:rsidRPr="00C93899" w:rsidRDefault="00E832E5" w:rsidP="00E832E5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С 2016 года семьям, воспитывающим двойню, семьям, воспитывающим ребёнка-инвалида, бесплатно предоставляются </w:t>
      </w:r>
      <w:r w:rsidRPr="00C93899">
        <w:rPr>
          <w:rFonts w:ascii="Times New Roman" w:hAnsi="Times New Roman"/>
          <w:b/>
          <w:sz w:val="30"/>
          <w:szCs w:val="30"/>
        </w:rPr>
        <w:t>услуги няни.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Ежеквартально обновляется 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банк данных граждан, нуждающихся в социальной поддержке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На основании результатов обследования условий жизни оказывается конкретная социальная помощь.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Так, в течение 2016 – 2020 года из Фонда социальной защиты населения 305 остронуждающихся пенсионеров и инвалидов получили материальную помощь на сумму 28474,34 руб.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выполнения мероприятий Государственных программ для проведения ремонтных работ, установки автономных пожарных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извещателей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замены электропроводки с 2016 года по 2020 год в домовладениях 892 нуждающихся граждан из средств местных бюджетов было израсходовано 13102,67 руб.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Продолжается работа по предоставлению </w:t>
      </w: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государственной адресной социальной помощи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В 2016 - 2020 гг. ее получателями стали 2513 человек, на эти цели израсходовано 692993,93 руб. средств районного бюджета.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i/>
          <w:sz w:val="30"/>
          <w:szCs w:val="30"/>
          <w:lang w:eastAsia="ru-RU"/>
        </w:rPr>
        <w:t>Государственная адресная социальная помощь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60"/>
        <w:gridCol w:w="1559"/>
        <w:gridCol w:w="1559"/>
      </w:tblGrid>
      <w:tr w:rsidR="00C93899" w:rsidRPr="00C93899" w:rsidTr="00221D71">
        <w:tc>
          <w:tcPr>
            <w:tcW w:w="1985" w:type="dxa"/>
          </w:tcPr>
          <w:p w:rsidR="00E832E5" w:rsidRPr="00C93899" w:rsidRDefault="00E832E5" w:rsidP="00221D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2016 г.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2017г.</w:t>
            </w:r>
          </w:p>
        </w:tc>
        <w:tc>
          <w:tcPr>
            <w:tcW w:w="1560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2018 г.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2019г.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 2020г.</w:t>
            </w:r>
          </w:p>
        </w:tc>
      </w:tr>
      <w:tr w:rsidR="00C93899" w:rsidRPr="00C93899" w:rsidTr="00221D71">
        <w:tc>
          <w:tcPr>
            <w:tcW w:w="1985" w:type="dxa"/>
          </w:tcPr>
          <w:p w:rsidR="00E832E5" w:rsidRPr="00C93899" w:rsidRDefault="00E832E5" w:rsidP="00221D71">
            <w:pPr>
              <w:spacing w:after="0" w:line="240" w:lineRule="auto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Кол-во получателей, чел.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408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685</w:t>
            </w:r>
          </w:p>
        </w:tc>
        <w:tc>
          <w:tcPr>
            <w:tcW w:w="1560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546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380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494</w:t>
            </w:r>
          </w:p>
        </w:tc>
      </w:tr>
      <w:tr w:rsidR="00C93899" w:rsidRPr="00C93899" w:rsidTr="00221D71">
        <w:tc>
          <w:tcPr>
            <w:tcW w:w="1985" w:type="dxa"/>
          </w:tcPr>
          <w:p w:rsidR="00E832E5" w:rsidRPr="00C93899" w:rsidRDefault="00E832E5" w:rsidP="00221D71">
            <w:pPr>
              <w:spacing w:after="0" w:line="240" w:lineRule="auto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lastRenderedPageBreak/>
              <w:t>Сумма адресной помощи, руб.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101513,67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hAnsi="Times New Roman"/>
                <w:i/>
                <w:sz w:val="28"/>
                <w:szCs w:val="28"/>
              </w:rPr>
              <w:t>175226,48</w:t>
            </w:r>
          </w:p>
        </w:tc>
        <w:tc>
          <w:tcPr>
            <w:tcW w:w="1560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hAnsi="Times New Roman"/>
                <w:i/>
                <w:sz w:val="28"/>
                <w:szCs w:val="28"/>
              </w:rPr>
              <w:t>156751,25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hAnsi="Times New Roman"/>
                <w:i/>
                <w:sz w:val="28"/>
                <w:szCs w:val="28"/>
              </w:rPr>
              <w:t>108200,38</w:t>
            </w:r>
          </w:p>
        </w:tc>
        <w:tc>
          <w:tcPr>
            <w:tcW w:w="1559" w:type="dxa"/>
            <w:vAlign w:val="center"/>
          </w:tcPr>
          <w:p w:rsidR="00E832E5" w:rsidRPr="00C93899" w:rsidRDefault="00E832E5" w:rsidP="00221D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</w:pPr>
            <w:r w:rsidRPr="00C93899">
              <w:rPr>
                <w:rFonts w:ascii="Times New Roman" w:hAnsi="Times New Roman"/>
                <w:i/>
                <w:sz w:val="28"/>
                <w:szCs w:val="28"/>
              </w:rPr>
              <w:t>151302,15</w:t>
            </w:r>
          </w:p>
        </w:tc>
      </w:tr>
    </w:tbl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1мая 2020 года в районе проживает 2414 пенсионеров.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текущем году, как и в предыдущие годы, принимаются меры, направленные на улучшение состояния пенсионного обеспечения, последовательного повышения уровня пенсий. 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За 2016 - 2019 годы Глава государства неоднократно принимал решения по повышению размеров трудовых пенсий. В результате этих перерасчетов средний размер пенсии по возрасту в мае 2020 года составил 506,21 рублей и увеличился по сравнению с 2016 годом в 1,5 раза.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Пенсионная система функционирует стабильно, пенсии выплачиваются своевременно и в полном объеме.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Приняты меры по укреплению института семьи. Указом Президента Республики Беларусь от 9 декабря 2014 года №572 в качестве долгосрочной поддержки с 1 января 2015 г. предусмотрено предоставление семьям единовременных безналичных денежных средств в размере 10 000 долларов США (семейный капитал) при рождении либо усыновлении третьего или последующих детей. По состоянию на 1 января 2021 года право на назначение семейного капитала реализовано 172 семьями.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С 1 января 2020 года Президент продлил программу семейного капитала ещё на 5 лет. По состоянию на 1 января 2021 года право на назначение семейного капитала реализовано ещё 21 семьёй.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C 1 января 2020 года семейным капиталом можно распорядится досрочно на: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-обучение в государственных вузах 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ссузах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-на оплату медицинских услуг;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-на улучшение жилищных условий (строительство, реконструкцию или покупку квартиры, погашение задолженности по жилищным кредитам). 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Досрочным распоряжением семейным капиталом в течение 2020 года воспользовалось 20 семей.</w:t>
      </w:r>
    </w:p>
    <w:p w:rsidR="00E832E5" w:rsidRPr="00C93899" w:rsidRDefault="00E832E5" w:rsidP="00E83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качестве текущей поддержки введено ежемесячное пособие семьям, воспитывающим ребенка в возрасте от 3 до 18 лет, которое выплачивается в период ухода за ребенком в возрасте до 3 лет. Размер пособия составляет 50 процентов бюджета прожиточного минимума.</w:t>
      </w:r>
    </w:p>
    <w:p w:rsidR="001402BF" w:rsidRPr="00C93899" w:rsidRDefault="001402BF" w:rsidP="001402B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Образование.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Система образования района включает 16 учреждений образования, в том числе 4 учреждения дошкольного образования, 8 учреждений общего среднего образования, 2 учреждения дополнительного образования детей и </w:t>
      </w:r>
      <w:r w:rsidRPr="00C93899">
        <w:rPr>
          <w:rFonts w:ascii="Times New Roman" w:hAnsi="Times New Roman"/>
          <w:sz w:val="30"/>
          <w:szCs w:val="30"/>
        </w:rPr>
        <w:lastRenderedPageBreak/>
        <w:t>молодежи, 1 учреждение специального образования, 1 социально-педагогическое учреждение. Функционируют физкультурно-спортивный клуб, детский дом семейного типа.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Количество работников системы образования составляет 686 человек, в том числе п</w:t>
      </w:r>
      <w:r w:rsidR="00792C6D" w:rsidRPr="00C93899">
        <w:rPr>
          <w:rFonts w:ascii="Times New Roman" w:hAnsi="Times New Roman"/>
          <w:sz w:val="30"/>
          <w:szCs w:val="30"/>
        </w:rPr>
        <w:t xml:space="preserve">едагогических работников – 275 </w:t>
      </w:r>
      <w:r w:rsidRPr="00C93899">
        <w:rPr>
          <w:rFonts w:ascii="Times New Roman" w:hAnsi="Times New Roman"/>
          <w:sz w:val="30"/>
          <w:szCs w:val="30"/>
        </w:rPr>
        <w:t>(40% от общего числа работающих). Средний возраст работников системы 40-49 лет. Обеспеченность кадрами составляет 100%. Прибыло на работу в текущем году 12 молодых педагогов: 7 молодых специалистов с высшим образованием, 5 – со средним специальным. Выполнен план целевой подготовки: заключено два договора по специальностям «Иностранные языки (английский, немецкий)», «Математика и информатика»; всего на условиях целевой подготовки обучается 7 уроженцев района.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В учреждениях образования осуществляется внедрение инновационных и экспериментальных проектов Министерства образования Республики Беларусь (2017, 2018 гг. - 12,5 % от  общего количество учреждений образования, 2019 - 18,8% от общего количества учреждений в районе).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Дошкольное образование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Учреждения дошкольного образования района посещает 466 детей. Охват дошкольным образованием составил 97,6 %. Охват детей от 3 до 6 лет учреждениями дошкольного образования – 97,1% (областной -97,1%).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Показатель оснащенности учреждений дошкольного образования средствами обучения составляет 85,1% (областной – 83,2%), автоматизированной системой по учету и контролю за качеством питания 100% (областной 79%).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Доля воспитателей, имеющих: образование по направлению «Педагогика детства» составляет 77,3% (областной 68,8%); высшую и первую квалификационную категории – 47,73% (областной - 55,3%).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Благодаря созданию в дошкольных учреждениях </w:t>
      </w:r>
      <w:proofErr w:type="spellStart"/>
      <w:r w:rsidRPr="00C93899">
        <w:rPr>
          <w:rFonts w:ascii="Times New Roman" w:hAnsi="Times New Roman"/>
          <w:sz w:val="30"/>
          <w:szCs w:val="30"/>
        </w:rPr>
        <w:t>здоровьесберегающей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среды, системной работе по охране жизни и здоровья детей обеспечен низкий уровень их заболеваемости – 3 дня (2019 – 4,05 дня, при областном 4,1 дня; 2018 – 4,3 дня).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Общее среднее образование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Приняты необходимые организационные и управленческие меры по удовлетворению образовательных запросов 1269 школьников: 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98% учащихся посещают факультативные занятия по учебным предметам;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82,6% учащихся Х-ХІ классов изучают на повышенном уровне учебные предметы “Русский язык”, “Английский язык”, “Математика”, “Химия”, а также 27% учащихся V-IX классов в рамках </w:t>
      </w:r>
      <w:proofErr w:type="spellStart"/>
      <w:r w:rsidRPr="00C93899">
        <w:rPr>
          <w:rFonts w:ascii="Times New Roman" w:hAnsi="Times New Roman"/>
          <w:sz w:val="30"/>
          <w:szCs w:val="30"/>
        </w:rPr>
        <w:t>допрофильной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</w:t>
      </w:r>
      <w:r w:rsidRPr="00C93899">
        <w:rPr>
          <w:rFonts w:ascii="Times New Roman" w:hAnsi="Times New Roman"/>
          <w:sz w:val="30"/>
          <w:szCs w:val="30"/>
        </w:rPr>
        <w:lastRenderedPageBreak/>
        <w:t>подготовки – учебные предметы “Белорусский язык”, “Английский язык”, “Математика”, “Химия”;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сформированы группы педагогической (6 учащихся по программе факультативных занятий «Введение в педагогическую профессию»), аграрной (11 учащихся по программе факультативных занятий «Введение в аграрные профессии») направленности;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7 учащихся осваивают содержание получают профессиональную подготовку на базе 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профессионального лицея по специальности «Продавец».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Обеспеченность учреждений в соответствии с Перечнем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составляет 78,4% оборудованием общего назначения, 75% учебным оборудованием кабинетов и классов. 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областном рейтинге по качеству выступления на областном этапе республиканской олимпиады команда района заняла 19 позицию.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Результаты выпускных экзаменов выше прошлогодних: отметки высокого и достаточного уровней получили на 6% больше выпускников, показав результат выше, чем в среднем по области среди одиннадцатиклассников по русскому, английскому и немецкому языкам,  а среди девятиклассников – по белорусскому языку.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По результатам выпускной кампании 2020 года большее количество выпускников получило свидетельство об общем базовом образовании с отличием и аттестат особого образца с награждением золотой медалью, награждены похвальным листом за особые успехи в изучении отдельных учебных предметов.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По итогам централизованного тестирования выпускники района впервые вошли в тройку лидеров в рейтинговой таблице области: средний балл составил 60,02 балла. Предметная подготовка выпускников района лучше, чем в среднем по области, по белорусскому языку, математике, истории Беларуси, обществоведению и физике.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Студентами учреждений высшего образования стали 75% одиннадцатиклассников, а среди девятиклассников 37% – студентами учреждений среднего специального образования, 31% – учащимися учреждений профессионально-технического образования.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Воспитательная работа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С целью организации свободного времени учащихся, в учреждениях образования функционируют 122 объединения по интересам, в которых занимаются 1398 учащихся, из них 67 объединений по интересам (703 учащихся) функционируют на базе учреждений общего среднего </w:t>
      </w:r>
      <w:r w:rsidRPr="00C93899">
        <w:rPr>
          <w:rFonts w:ascii="Times New Roman" w:hAnsi="Times New Roman"/>
          <w:sz w:val="30"/>
          <w:szCs w:val="30"/>
        </w:rPr>
        <w:lastRenderedPageBreak/>
        <w:t xml:space="preserve">образования по следующим направлениям: художественного творчества, физкультурно-спортивного,  ЮИД, ЮСП, ЮДМ, технического и иные.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банке «трудных» подростков на 01.12.2020 состоит 3 несовершеннолетних, с которыми проводится индивидуальная профилактическая работа.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За 2020 год учреждениями образования завоевано 35 дипломов в творческих конкурсах областного и республиканского уровня.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связи со сложившейся эпидемиологической обстановкой, особенной в текущем году стала летняя оздоровительная кампания. В летний период 2020 года была организована работа 11 лагерей численностью 206 несовершеннолетних. Третий год подряд был открыт лагерь с дневным пребыванием детей на базе государственного учреждения образования «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Наровлянский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районный центр коррекционно-развивающего обучения и реабилитации» для детей – инвалидов с ОПФР для 5 несовершеннолетних.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Охрана детства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По состоянию на 01.01.2021 в районе проживает 59 детей-сирот и детей, оставшихся без попечения родителей (далее – дети-сироты) (на 01.01.2019 – 70 детей). Количество несовершеннолетних детей указанной категории уменьшилось по причине перевода их на государственное обеспечение в учреждения профессионально-технического и среднего специального образования, а также в связи с достижением совершеннолетия.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Из общего количества детей-сирот 46 (78%) находятся на воспитании в замещающих семьях (7 приемных семей – 14 детей, 16 опекунских семей – 25 детей, 1 детский дом семейного типа – 7 детей).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За 2020 год выявлено 5 детей (2019 – 8 детей), получивших статус детей-сирот и детей, оставшихся без попечения родителей, которые помещены на государственное обеспечение (</w:t>
      </w:r>
      <w:proofErr w:type="spellStart"/>
      <w:r w:rsidRPr="00C93899">
        <w:rPr>
          <w:rFonts w:ascii="Times New Roman" w:hAnsi="Times New Roman"/>
          <w:sz w:val="30"/>
          <w:szCs w:val="30"/>
        </w:rPr>
        <w:t>Маслак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Л.А., </w:t>
      </w:r>
      <w:proofErr w:type="spellStart"/>
      <w:r w:rsidRPr="00C93899">
        <w:rPr>
          <w:rFonts w:ascii="Times New Roman" w:hAnsi="Times New Roman"/>
          <w:sz w:val="30"/>
          <w:szCs w:val="30"/>
        </w:rPr>
        <w:t>Маслак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Е.А., Якимович А.А., Стороженко К.С., Малыгина С.А.).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Устройство выявленных в 2020 году детей-сирот на воспитание в замещающие семьи составляет 80% (из 5 детей устроены в замещающие семьи 4 ребенка, 1 ребенок помещен в </w:t>
      </w:r>
      <w:proofErr w:type="spellStart"/>
      <w:r w:rsidRPr="00C93899">
        <w:rPr>
          <w:rFonts w:ascii="Times New Roman" w:hAnsi="Times New Roman"/>
          <w:sz w:val="30"/>
          <w:szCs w:val="30"/>
        </w:rPr>
        <w:t>Мозырский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детский дом).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За 2020 год признаны находящимися в социально опасном положении 35 детей из 15 семей (за 2019 год – 28 детей из 11 семей).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результате межведомственного взаимодействия субъектов профилактики и семей за 2020 год в связи с нормализацией обстановки в семьях сняты с учета 19 детей из 7 семей или 86,4% от общего числа снятых с учета (2019 – 35 детей, 81,4%).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За 2020 год решением комиссии по делам несовершеннолетних признан нуждающимся в государственной защите и отобран у родителя 1 </w:t>
      </w:r>
      <w:r w:rsidRPr="00C93899">
        <w:rPr>
          <w:rFonts w:ascii="Times New Roman" w:hAnsi="Times New Roman"/>
          <w:sz w:val="30"/>
          <w:szCs w:val="30"/>
        </w:rPr>
        <w:lastRenderedPageBreak/>
        <w:t xml:space="preserve">ребенок из 1 семьи, который впоследствии приобрел статус оставшегося без попечения родителей и в настоящее время помещен на государственное обеспечение в </w:t>
      </w:r>
      <w:proofErr w:type="spellStart"/>
      <w:r w:rsidRPr="00C93899">
        <w:rPr>
          <w:rFonts w:ascii="Times New Roman" w:hAnsi="Times New Roman"/>
          <w:sz w:val="30"/>
          <w:szCs w:val="30"/>
        </w:rPr>
        <w:t>Мозырский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детский дом.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97B03" w:rsidRPr="00C93899" w:rsidRDefault="00197B03" w:rsidP="00197B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93899">
        <w:rPr>
          <w:rFonts w:ascii="Times New Roman" w:hAnsi="Times New Roman"/>
          <w:b/>
          <w:sz w:val="30"/>
          <w:szCs w:val="30"/>
        </w:rPr>
        <w:t>Физическая культура и спорт.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На территории района для организации физкультурно-оздоровительной и спортивно-массовой работы с населением функционируют 44 спортивных сооружения, в том числе: 1 стадион с трибунами на 1500 мест, 1 спортивное ядро, 10 спортивных залов, 28 плоскостных спортивных сооружений, 4 приспособленных помещения для занятий физической культурой и спортом.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2020 году государственным учреждением «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Наровлянский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районный </w:t>
      </w:r>
      <w:proofErr w:type="spellStart"/>
      <w:r w:rsidRPr="00C93899">
        <w:rPr>
          <w:rFonts w:ascii="Times New Roman" w:hAnsi="Times New Roman"/>
          <w:sz w:val="30"/>
          <w:szCs w:val="30"/>
        </w:rPr>
        <w:t>физкультурно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- спортивный клуб» было проведено 10 общегородских и районных мероприятия (6 среди детей и подростков, 4 среди взрослого населения): районный этап соревнований «Снежный снайпер», спортивный праздник «Масленица», товарищеский матч по мини-футболу, легкоатлетический кросс «Мы - белорусы», турнир по футболу среди дворовых команд, турнир по футболу «Кожаный мяч», открытый районный спортивно-массовый туристический культурный праздник, спортивный культурно-массовый праздник среди сельсоветов. Многие спортивно-массовые мероприятия в 2020 году не были проведены в связи с пандемией </w:t>
      </w:r>
      <w:proofErr w:type="spellStart"/>
      <w:r w:rsidRPr="00C93899">
        <w:rPr>
          <w:rFonts w:ascii="Times New Roman" w:hAnsi="Times New Roman"/>
          <w:sz w:val="30"/>
          <w:szCs w:val="30"/>
        </w:rPr>
        <w:t>коронавируса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. Общее количество принявших участие в районных соревнованиях составило 474 человека (262 человека среди детей и подростков и 212 человек среди взрослого населения).  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>В 2020 году сборные команды учащихся учреждений образования приняли участие в 3 видах областных соревнований: областной этап соревнований по биатлону «Снежный снайпер», областной этап соревнований по хоккею «Золотая шайба», зональный и областной этап соревнований по футболу «Кожаный мяч».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Были показаны хорошие результаты на областном уровне в таких видах спорта как: зональные соревнования по футболу «Кожаный мяч» (средняя группа) – 1 место, зональные соревнования по футболу «Кожаный мяч» (младшая группа) – 1 место, зональные соревнования по футболу «Кожаный мяч» (старшая группа) – 1 место, зональные соревнования по футболу «Кожаный мяч» (девочки) – 3 место, областные соревнования по футболу «Кожаный мяч» (средняя группа) – 1 место, областные соревнования по футболу «Кожаный мяч» (младшая группа) – 3 место. Кроме этого средняя группа 2008-2009 </w:t>
      </w:r>
      <w:proofErr w:type="spellStart"/>
      <w:r w:rsidRPr="00C93899">
        <w:rPr>
          <w:rFonts w:ascii="Times New Roman" w:hAnsi="Times New Roman"/>
          <w:sz w:val="30"/>
          <w:szCs w:val="30"/>
        </w:rPr>
        <w:t>гг.р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. будет представлять 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Наровлянский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 на республиканском этапе соревнований по футболу «Кожаный мяч» в г. Минск.</w:t>
      </w:r>
    </w:p>
    <w:p w:rsidR="00436FF9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3899">
        <w:rPr>
          <w:rFonts w:ascii="Times New Roman" w:hAnsi="Times New Roman"/>
          <w:sz w:val="30"/>
          <w:szCs w:val="30"/>
        </w:rPr>
        <w:t xml:space="preserve">Туристическую инфраструктуру </w:t>
      </w:r>
      <w:proofErr w:type="spellStart"/>
      <w:r w:rsidRPr="00C93899">
        <w:rPr>
          <w:rFonts w:ascii="Times New Roman" w:hAnsi="Times New Roman"/>
          <w:sz w:val="30"/>
          <w:szCs w:val="30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 района формируют 3 субъекта </w:t>
      </w:r>
      <w:proofErr w:type="spellStart"/>
      <w:r w:rsidRPr="00C93899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C93899">
        <w:rPr>
          <w:rFonts w:ascii="Times New Roman" w:hAnsi="Times New Roman"/>
          <w:sz w:val="30"/>
          <w:szCs w:val="30"/>
        </w:rPr>
        <w:t xml:space="preserve">, 3 объекта придорожного сервиса, 1 объект </w:t>
      </w:r>
      <w:r w:rsidRPr="00C93899">
        <w:rPr>
          <w:rFonts w:ascii="Times New Roman" w:hAnsi="Times New Roman"/>
          <w:sz w:val="30"/>
          <w:szCs w:val="30"/>
        </w:rPr>
        <w:lastRenderedPageBreak/>
        <w:t>гостиничного бизнеса, 5 объектов общественного питания, 12 памятников истории, археологии, архитектуры и культуры, внесенных в Государственный список историко-культурного наследия Республики Беларусь.</w:t>
      </w:r>
    </w:p>
    <w:p w:rsidR="00197B03" w:rsidRPr="00C93899" w:rsidRDefault="00197B03" w:rsidP="00197B0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13280" w:rsidRPr="00C93899" w:rsidRDefault="00913280" w:rsidP="0091328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Здравоохранение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Здравоохранение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представлено учреждением здравоохранения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центральная районная больница», которое включает в себя: стационар – 88 коек, поликлиника на 375 посещений в смену, 2 АВОП, 9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ФАПов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которые обеспечивают оказание первичной и специализированной медицинской помощи, равнодоступной, как городскому, так и сельскому населению.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Работа учреждения здравоохранения района направлена на обеспечение устойчивого функционирования системы здравоохранения и повышение ее эффективности, совершенствование мероприятий по улучшению доступности и качества первичной медицинской помощи, оптимизации стационарной помощи, повышению эффективности профилактической работы, реабилитации пациентов с хроническими заболеваниями и инвалидов, а также активному внедрению достижений медицинской науки в повседневную практическую деятельность.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Обеспечение оказания качественной и доступной медицинской помощи во многом зависит от укрепления кадрового потенциала и материально-технической базы учреждений здравоохранения.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2016-2020 годы на укрепление материально-технической базы структурных подразделений в рамках Государственной программы "Здоровье народа и демографическая безопасность Республики Беларусь" было выделено и освоено 476,32 тыс. рублей, в том числе были приобретены два автомобиля скорой медицинской помощи на сумму 132,9 тыс. рублей. В 2020 году приобретено медицинское оборудование на сумму 4,5 тысяч рублей (блок подачи медицинских газов - 2 шт.). За данный период текущих ремонтов выполнено на сумму 138,2 тыс. рублей.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2020 году текущих ремонтов выполнено на сумму 59,4 тыс. рублей.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Государственной программы по преодолению последствий катастрофы на Чернобыльской АЭС на 2011-2015 годы и на период до 2020 года в 2019 году было приобретено медицинское оборудование на сумму 12,60 тыс. рублей (мониторы реанимационные,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рециркуляторы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передвижные).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2018-2019 годах было произведено устройство АПС на сумму 180,96 тыс. рублей.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Медико-демографические показатели: показатель рождаемости снизился с 15,5 на 1000 населения в 2015 году до 12,6 в 2020 году. При этом показатель младенческой и детской смертности составил 0. Общая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смертность увеличилась с 13,3 на 1000 населения в 2015 году до 15,3 по итогам 2020 года, смертность в трудоспособном возрасте увеличилась с 4,5 в 2015 году до 5,2 в 2020 году. Естественный прирост населения в 2019 году составлял плюс 2,4 на 1000 населения, в 2020 году отмечается убыль населения минус 2,7 на 1000 населения.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Одногодичная летальность снизилась с 27,5% в 2015 году до 26,7% в 2020 году, процент выявления пациентов в далеко зашедших стадиях онкологических заболеваний увеличился с 11,1% (3 случаев из 28) до 25,0% (7 случаев из 28). Показатель пятилетней выживаемости пациентов с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онкозаболеваниями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– 53,2% в 2020 году и 53,5% в 2015 году.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Дальнейшее развитие медицинской реабилитации позволило увеличить показатель полной реабилитации инвалидов трудоспособного возраста (с 8,6% в 2015 году до 12,1% в 2020 году), показатель частичной реабилитации с 13,9% в 2015 году до 15,8% по итогам 2020 года. Первичная инвалидность лиц трудоспособного возраста выросла с 52,9 (на 10 тыс. населения) в 2019 году до 57,2 (на 10 тыс. населения) по итогам 2020 года, а также увеличилась первичная инвалидность у детей до 18 лет с 15,4 до 19,3.</w:t>
      </w:r>
    </w:p>
    <w:p w:rsidR="001601F2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Важнейшим результатом работы противотуберкулезной службы стало снижение смертности от туберкулеза до 0 (2016 год – 4 случая, что составило 29,1 на 100 тыс. населения).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3280" w:rsidRPr="00C93899" w:rsidRDefault="00913280" w:rsidP="003435C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Культура.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действуют 24 учреждения культуры, с числом работающих на 01.01.2021 г. – 109 чел.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5 учреждений культуры имеют статус юридического лица. В том числе: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- государственное учреждение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дом культуры», которое включает в себя деятельность 7 сельских домов культуры, 1 сельский клуб, 2 клуба-библиотеки, центр фольклора;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- государственное учреждение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районная централизованная библиотечная система», которое включает в себя деятельность 7 сельских библиотек, 1 библиотеки-клуб;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- государственное учреждение образования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детская школа искусств»;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- государственное учреждение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историко-этнографический музей»;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- государственное учреждение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центр ремёсел».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клубных учреждениях района функционирует 41 клубное формирование, в которых 347 человек, в их числе 23 формирований для детей (количество участников – 146 человек).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Работа по сохранению и развитию традиционной культуры и любительского народного творчества проводится клубными учреждениями, которые работают над привлечением широких слоев населения к занятиям в коллективах художественной самодеятельности.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районе работают 7 коллективов со званием «Народный» и 3 коллектива со званием «Образцовый».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Информационные запросы населения выполняет сеть публичных библиотек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книжный фонд которой составляет 141 976 экземпляров.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2020 году библиотеками района обслужено 7812 читателей. Посещения составили 71 751, книговыдача 196 078 экземпляров. Из них 2 517 читателей и 25 562 посещений составили дети, которым выдано 56 361 экземпляров изданий.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Общий книжный фонд государственного учреждения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районная централизованная библиотечная система» (книги, газеты, журналы), согласно регистра насчитывает на 01.01.2021 года 142211 экз. (поступило 125665 экз. книг, 16426 экз. периодических изданий (журналы/газеты),120 аудио-изданий.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Эстетическое обучение и воспитание подрастающего поколения осуществляетс</w:t>
      </w:r>
      <w:r w:rsidR="0040145F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я государственным учреждением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образования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детская школа искусств», в котором в 2019-2020 учебном году обучался 237 учащихся по специальностям: фортепиано, скрипка, баян, аккордеон, цимбалы, ударные инструменты, духовые инструменты, гитара, хоровое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дирижирование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хореография, изобразительное искусство.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2020 году основной фонд государственного учреждения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историко-этнографический музей» пополнился на 121 предмет и составил 4604 экспонатов.</w:t>
      </w:r>
    </w:p>
    <w:p w:rsidR="00913280" w:rsidRPr="00C93899" w:rsidRDefault="0040145F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За отчетный период </w:t>
      </w:r>
      <w:r w:rsidR="00913280" w:rsidRPr="00C93899">
        <w:rPr>
          <w:rFonts w:ascii="Times New Roman" w:eastAsia="Times New Roman" w:hAnsi="Times New Roman"/>
          <w:sz w:val="30"/>
          <w:szCs w:val="30"/>
          <w:lang w:eastAsia="ru-RU"/>
        </w:rPr>
        <w:t>обслужено 9106 посетителей, организовано 66 выставок и проведено 24 мероприятия в онлайн-режиме, количество виртуальных посетителей 5202 человека.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9 мая 2020 года состоялось знаковое событие для жителей города Наровля – открытие памятно</w:t>
      </w:r>
      <w:r w:rsidR="0040145F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го знака, противотанковой пушки,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в честь 75-летия Великой Победы и памяти Героя Советского Союза Андрея Корзуна.</w:t>
      </w:r>
    </w:p>
    <w:p w:rsidR="00913280" w:rsidRPr="00C93899" w:rsidRDefault="0040145F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="00913280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были изготовлены и установлены информационные таблички на все учтенные воинские захоронения, расположенные на территории </w:t>
      </w:r>
      <w:proofErr w:type="spellStart"/>
      <w:r w:rsidR="00913280"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="00913280"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Основными направлениями деятельности государственного учреждения культуры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центр ремесел» являются возрождение, сохранение, развитие и популяризация традиционной художественной культуры, народных художественных промыслов, ремесел.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Районный центр ремесел проводит активную работу по выявлению мастеров народного творчества. Всего в картотеке состоит 141 мастер, из них по району - 53 человека.</w:t>
      </w:r>
    </w:p>
    <w:p w:rsidR="0040145F" w:rsidRPr="00C93899" w:rsidRDefault="0040145F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3280" w:rsidRPr="00C93899" w:rsidRDefault="00913280" w:rsidP="003435C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Молодежная политика.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Наровлянском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проживает свыше 1 870 человек в возрасте от 14 до 31 года, что составляет 18% от общей численности всех жителей района.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Половозрастная структура молодежи г. Наровли и района составляет 2190 человек молодежи, из них: мужчин - 1121, женщин - 1069, в том числе городское население – 1806, мужчин - 911, женщин - 895, сельское население - 348, мужчин - 210, женщин - 174. На предприятиях, учреждениях и организациях района работает свыше 800 молодых людей в возрасте до 31 года.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Отличительной особенностью района является отсутствие в нем высших и средних специальных учебных заведений. Молодежь района представлена учащимися средних общеобразовательных школ, профессионально-техническим лицеем и работающей молодежью.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Деятельности неформальных объединений на территории района не зарегистрировано.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Молодежь активно привлекается к организации и проведению культурно-массовых праздников, проведению общественно-патриотических акций, а также культурному отдыху и спортивно-массовой работе, проводимой 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Регулярно проводятся заседания Молодежного парламента с участием молодых активистов от всех отраслей района.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3280" w:rsidRPr="00C93899" w:rsidRDefault="00913280" w:rsidP="003435C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Общественно-политические структуры.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района зарегистрированы 2 районные организации политических партий, поддерживающих государственную политику (Коммунистическая партия Беларуси и Республиканская партия труда и справедливости).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Кроме того, на территории района зарегистрированы 14 организационных структур общественных объединений (в том числе 4 организационные структуры профессиональных союзов).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Наиболее крупными являются следующие общественные организации: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районное объединение профсоюзов организаций (2811 членов, 45 первичных организаций); районная организация «Белорусское общество Красного Креста» (32 первичные организации, 1768 членов); организация ветеранов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«Белорусского общественного объединения ветеранов» (1200 членов, 30 первичных организаций);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районная организация общественного объединения «БРСМ» (604 члена, 39 первичных организаций); районная организация общественного объединения «Белая Русь» (162 членов, 12 первичных организаций); районная организация «Общество спасения на водах», численность (970 человек, 40 первичных организаций); районная организация общественного объединения «Белорусское общество инвалидов» (95 человек).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деятельность представителей организаций оппозиционной направленности не выявлены.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зарегистрированы и функционируют: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газета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Прыпяцкая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праўда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», учредитель газеты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Наровлянский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исполнительный комитет. Тираж на 06.01.2021 районной газеты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Прыпяцкая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праўда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» составляет 2079 экземпляра, официальный сайт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райисполкома на платформе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БелТА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, сайт районной газеты «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Прыпяцкая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праўда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СМИ (в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т.ч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интернет-ресурсов</w:t>
      </w:r>
      <w:proofErr w:type="spellEnd"/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 xml:space="preserve">) деструктивной направленности не зарегистрированы. </w:t>
      </w:r>
    </w:p>
    <w:p w:rsidR="00913280" w:rsidRPr="00C93899" w:rsidRDefault="00913280" w:rsidP="00913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3280" w:rsidRPr="00C93899" w:rsidRDefault="00913280" w:rsidP="003435C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>Этноконфессиональная</w:t>
      </w:r>
      <w:proofErr w:type="spellEnd"/>
      <w:r w:rsidRPr="00C938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ситуация.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Национальный состав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по переписи 2019 года сложился следующий: белорусы – 9548 человек, русские – 765, украинцы – 227, поляки – 73, евреи – 5. 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На территории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зарегистрированы 7 религиозных общин 3 конфессий, в том числе: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4 – православные («Православный приход храма Святого апостола Иоанна Богослова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Туровской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епархии Белорусской Православной Церкви» (настоятель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Махнач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Александр Михайлович); «Приход храма Святой великомученицы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Параскевы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Пятницы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аг.Вербовичи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Туровской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епархии Белорусской Православной Церкви»); «Приход храма Святителя Николая Чудотворца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д.Антонов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Туровской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епархии Белорусской Православной Церкви»; «Приход храма Святого Архангела Михаила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аг.Киров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Туровской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епархии Белорусской Православной Церкви» (настоятель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Бусь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Петр Иванович); 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2 – католические («Римско-католический приход Сердца Иисуса Христа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д.Грушевка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Наровлянского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района Гомельской области»; «Римско-католический приход Святого Креста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Гомельской области» (настоятель </w:t>
      </w:r>
      <w:r w:rsidRPr="00C93899">
        <w:rPr>
          <w:rFonts w:ascii="Times New Roman" w:eastAsia="Times New Roman" w:hAnsi="Times New Roman"/>
          <w:sz w:val="30"/>
          <w:szCs w:val="30"/>
          <w:lang w:eastAsia="ru-RU"/>
        </w:rPr>
        <w:t>Шут Андрей Александрович</w:t>
      </w:r>
      <w:r w:rsidRPr="00C93899">
        <w:rPr>
          <w:rFonts w:ascii="Times New Roman" w:hAnsi="Times New Roman"/>
          <w:sz w:val="30"/>
          <w:szCs w:val="30"/>
          <w:lang w:eastAsia="ru-RU"/>
        </w:rPr>
        <w:t xml:space="preserve">); 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1 – «Религиозная община церкви христиан веры Евангельской «Благодать» в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г.Наровля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» (пастор </w:t>
      </w: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Харлан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Юрий Владимирович).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Согласно проведенному опросу священнослужителей количество прихожан православной общины в районе составляет около 300 человек, римско-католической около 70-80, христиан веры евангельской около 19. 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>Свою деятельность религиозные организации осуществляют в соответствии с действующим законодательством, своими уставами и соблюдают требования Конституции Республики Беларусь.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C93899">
        <w:rPr>
          <w:rFonts w:ascii="Times New Roman" w:hAnsi="Times New Roman"/>
          <w:sz w:val="30"/>
          <w:szCs w:val="30"/>
          <w:lang w:eastAsia="ru-RU"/>
        </w:rPr>
        <w:t xml:space="preserve">В районе имеется 7 культовых зданий: 5 церквей (4 – православные, 1 – евангельская) и 2 костела. Службы в указанных культовых зданиях проводят 4 священнослужителя. </w:t>
      </w:r>
    </w:p>
    <w:p w:rsidR="006360CE" w:rsidRPr="00C93899" w:rsidRDefault="006360CE" w:rsidP="00636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C93899">
        <w:rPr>
          <w:rFonts w:ascii="Times New Roman" w:hAnsi="Times New Roman"/>
          <w:sz w:val="30"/>
          <w:szCs w:val="30"/>
          <w:lang w:eastAsia="ru-RU"/>
        </w:rPr>
        <w:t>Этноконфессиональная</w:t>
      </w:r>
      <w:proofErr w:type="spellEnd"/>
      <w:r w:rsidRPr="00C93899">
        <w:rPr>
          <w:rFonts w:ascii="Times New Roman" w:hAnsi="Times New Roman"/>
          <w:sz w:val="30"/>
          <w:szCs w:val="30"/>
          <w:lang w:eastAsia="ru-RU"/>
        </w:rPr>
        <w:t xml:space="preserve"> ситуация в районе стабильная и управляемая, конфликтных ситуаций не наблюдается.</w:t>
      </w:r>
    </w:p>
    <w:p w:rsidR="00913280" w:rsidRPr="00C93899" w:rsidRDefault="00913280" w:rsidP="00636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913280" w:rsidRPr="00C93899" w:rsidSect="001601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9"/>
    <w:rsid w:val="000A6444"/>
    <w:rsid w:val="001402BF"/>
    <w:rsid w:val="001601F2"/>
    <w:rsid w:val="00197B03"/>
    <w:rsid w:val="001A6261"/>
    <w:rsid w:val="003435C8"/>
    <w:rsid w:val="00350559"/>
    <w:rsid w:val="003A1CDD"/>
    <w:rsid w:val="0040145F"/>
    <w:rsid w:val="00436FF9"/>
    <w:rsid w:val="004C4752"/>
    <w:rsid w:val="005C2359"/>
    <w:rsid w:val="005F2165"/>
    <w:rsid w:val="006122BE"/>
    <w:rsid w:val="006360CE"/>
    <w:rsid w:val="00692F18"/>
    <w:rsid w:val="00792C6D"/>
    <w:rsid w:val="007D68D8"/>
    <w:rsid w:val="00913280"/>
    <w:rsid w:val="009D5676"/>
    <w:rsid w:val="009E15CE"/>
    <w:rsid w:val="00B03B27"/>
    <w:rsid w:val="00B63061"/>
    <w:rsid w:val="00B7321C"/>
    <w:rsid w:val="00BF45DC"/>
    <w:rsid w:val="00C93899"/>
    <w:rsid w:val="00CF5924"/>
    <w:rsid w:val="00E832E5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458D-D88E-418E-B8EA-457F66B1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2021-01-15T08:18:00Z</dcterms:created>
  <dcterms:modified xsi:type="dcterms:W3CDTF">2021-01-21T08:46:00Z</dcterms:modified>
</cp:coreProperties>
</file>